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sz w:val="32"/>
          <w:szCs w:val="32"/>
          <w:highlight w:val="none"/>
          <w:lang w:val="en-US" w:eastAsia="zh-CN"/>
        </w:rPr>
      </w:pPr>
      <w:bookmarkStart w:id="0" w:name="_GoBack"/>
      <w:r>
        <w:rPr>
          <w:rFonts w:hint="eastAsia" w:ascii="黑体" w:hAnsi="黑体" w:eastAsia="黑体" w:cs="黑体"/>
          <w:b w:val="0"/>
          <w:bCs w:val="0"/>
          <w:color w:val="auto"/>
          <w:sz w:val="32"/>
          <w:szCs w:val="32"/>
          <w:highlight w:val="none"/>
          <w:lang w:val="en-US" w:eastAsia="zh-CN"/>
        </w:rPr>
        <w:t>附件1</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80" w:firstLineChars="200"/>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政府采购项目绩效评估项目需求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b w:val="0"/>
          <w:bCs w:val="0"/>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一、项目介绍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（一）项目依据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本项目依据《残疾预防和残疾人康复条例》《深圳经济特区实施&lt;中华人民共和国残疾人保障法&gt;办法》等文件。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（二）工作目标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针对深圳市残联政府采购项目及康复服务定点机构开展绩效评估，提出意见和建议，完成绩效评估报告。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（三）项目服务内容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针对202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年度三个政府采购项目“残疾人服务从业人员继续教育服务”、“残疾人职业康复及职业培训服务”及“重度残疾人托养服务”的执行情况各开展两次（中期、终期）绩效评估，并形成相应报告。</w:t>
      </w:r>
    </w:p>
    <w:p>
      <w:pPr>
        <w:keepNext w:val="0"/>
        <w:keepLines w:val="0"/>
        <w:pageBreakBefore w:val="0"/>
        <w:widowControl w:val="0"/>
        <w:wordWrap/>
        <w:topLinePunct w:val="0"/>
        <w:bidi w:val="0"/>
        <w:snapToGrid/>
        <w:spacing w:line="560" w:lineRule="exact"/>
        <w:ind w:firstLine="640" w:firstLineChars="200"/>
        <w:textAlignment w:val="auto"/>
        <w:rPr>
          <w:rFonts w:hint="default"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lang w:eastAsia="zh-CN"/>
        </w:rPr>
        <w:t>供应商资格要求</w:t>
      </w:r>
    </w:p>
    <w:p>
      <w:pPr>
        <w:pStyle w:val="9"/>
        <w:keepNext w:val="0"/>
        <w:keepLines w:val="0"/>
        <w:pageBreakBefore w:val="0"/>
        <w:widowControl w:val="0"/>
        <w:tabs>
          <w:tab w:val="left" w:pos="1923"/>
        </w:tabs>
        <w:kinsoku w:val="0"/>
        <w:wordWrap/>
        <w:overflowPunct w:val="0"/>
        <w:topLinePunct w:val="0"/>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auto"/>
          <w:spacing w:val="-2"/>
          <w:w w:val="95"/>
          <w:sz w:val="32"/>
          <w:lang w:val="en-US" w:eastAsia="zh-CN"/>
        </w:rPr>
      </w:pPr>
      <w:r>
        <w:rPr>
          <w:rFonts w:ascii="仿宋_GB2312" w:eastAsia="仿宋_GB2312"/>
          <w:color w:val="auto"/>
          <w:spacing w:val="-2"/>
          <w:w w:val="95"/>
          <w:sz w:val="32"/>
        </w:rPr>
        <w:t>1</w:t>
      </w:r>
      <w:r>
        <w:rPr>
          <w:rFonts w:hint="eastAsia" w:ascii="仿宋_GB2312" w:eastAsia="仿宋_GB2312"/>
          <w:color w:val="auto"/>
          <w:spacing w:val="-2"/>
          <w:w w:val="95"/>
          <w:sz w:val="32"/>
          <w:lang w:val="en-US" w:eastAsia="zh-CN"/>
        </w:rPr>
        <w:t>.</w:t>
      </w:r>
      <w:r>
        <w:rPr>
          <w:rFonts w:ascii="仿宋_GB2312" w:eastAsia="仿宋_GB2312"/>
          <w:color w:val="auto"/>
          <w:spacing w:val="-2"/>
          <w:w w:val="95"/>
          <w:sz w:val="32"/>
        </w:rPr>
        <w:t>投标人须</w:t>
      </w:r>
      <w:r>
        <w:rPr>
          <w:rFonts w:hint="eastAsia" w:ascii="仿宋_GB2312" w:eastAsia="仿宋_GB2312"/>
          <w:color w:val="auto"/>
          <w:spacing w:val="-2"/>
          <w:w w:val="95"/>
          <w:sz w:val="32"/>
          <w:lang w:val="en-US" w:eastAsia="zh-CN"/>
        </w:rPr>
        <w:t>符合《中华人民共和国政府采购法》第二十二条第一款的规定。</w:t>
      </w:r>
    </w:p>
    <w:p>
      <w:pPr>
        <w:pStyle w:val="9"/>
        <w:keepNext w:val="0"/>
        <w:keepLines w:val="0"/>
        <w:pageBreakBefore w:val="0"/>
        <w:widowControl w:val="0"/>
        <w:tabs>
          <w:tab w:val="left" w:pos="1923"/>
        </w:tabs>
        <w:kinsoku w:val="0"/>
        <w:wordWrap/>
        <w:overflowPunct w:val="0"/>
        <w:topLinePunct w:val="0"/>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（1）具有独立承担民事责任的能力；</w:t>
      </w:r>
    </w:p>
    <w:p>
      <w:pPr>
        <w:pStyle w:val="9"/>
        <w:keepNext w:val="0"/>
        <w:keepLines w:val="0"/>
        <w:pageBreakBefore w:val="0"/>
        <w:widowControl w:val="0"/>
        <w:tabs>
          <w:tab w:val="left" w:pos="1923"/>
        </w:tabs>
        <w:kinsoku w:val="0"/>
        <w:wordWrap/>
        <w:overflowPunct w:val="0"/>
        <w:topLinePunct w:val="0"/>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（2）具有良好的商业信誉和健全的财务会计制度；</w:t>
      </w:r>
    </w:p>
    <w:p>
      <w:pPr>
        <w:pStyle w:val="9"/>
        <w:keepNext w:val="0"/>
        <w:keepLines w:val="0"/>
        <w:pageBreakBefore w:val="0"/>
        <w:widowControl w:val="0"/>
        <w:tabs>
          <w:tab w:val="left" w:pos="1923"/>
        </w:tabs>
        <w:kinsoku w:val="0"/>
        <w:wordWrap/>
        <w:overflowPunct w:val="0"/>
        <w:topLinePunct w:val="0"/>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（3）具有履行合同所必需的设备和专业技术能力；</w:t>
      </w:r>
    </w:p>
    <w:p>
      <w:pPr>
        <w:pStyle w:val="9"/>
        <w:keepNext w:val="0"/>
        <w:keepLines w:val="0"/>
        <w:pageBreakBefore w:val="0"/>
        <w:widowControl w:val="0"/>
        <w:tabs>
          <w:tab w:val="left" w:pos="1923"/>
        </w:tabs>
        <w:kinsoku w:val="0"/>
        <w:wordWrap/>
        <w:overflowPunct w:val="0"/>
        <w:topLinePunct w:val="0"/>
        <w:autoSpaceDE w:val="0"/>
        <w:autoSpaceDN w:val="0"/>
        <w:bidi w:val="0"/>
        <w:adjustRightInd w:val="0"/>
        <w:snapToGrid/>
        <w:spacing w:before="0" w:line="560" w:lineRule="exact"/>
        <w:ind w:left="0" w:right="0" w:firstLine="600" w:firstLineChars="200"/>
        <w:textAlignment w:val="auto"/>
        <w:rPr>
          <w:rFonts w:hint="default"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（4）有依法缴纳税收和社会保障资金的良好记录；</w:t>
      </w:r>
    </w:p>
    <w:p>
      <w:pPr>
        <w:pStyle w:val="9"/>
        <w:keepNext w:val="0"/>
        <w:keepLines w:val="0"/>
        <w:pageBreakBefore w:val="0"/>
        <w:widowControl w:val="0"/>
        <w:tabs>
          <w:tab w:val="left" w:pos="1923"/>
        </w:tabs>
        <w:kinsoku w:val="0"/>
        <w:wordWrap/>
        <w:overflowPunct w:val="0"/>
        <w:topLinePunct w:val="0"/>
        <w:autoSpaceDE w:val="0"/>
        <w:autoSpaceDN w:val="0"/>
        <w:bidi w:val="0"/>
        <w:adjustRightInd w:val="0"/>
        <w:snapToGrid/>
        <w:spacing w:before="0" w:line="560" w:lineRule="exact"/>
        <w:ind w:left="0" w:right="0" w:firstLine="456" w:firstLineChars="200"/>
        <w:textAlignment w:val="auto"/>
        <w:rPr>
          <w:rFonts w:hint="eastAsia" w:eastAsia="仿宋_GB2312"/>
          <w:color w:val="auto"/>
          <w:w w:val="95"/>
          <w:sz w:val="32"/>
          <w:szCs w:val="32"/>
          <w:lang w:val="en-US" w:eastAsia="zh-CN"/>
        </w:rPr>
      </w:pPr>
      <w:r>
        <w:rPr>
          <w:rFonts w:hint="eastAsia"/>
          <w:color w:val="FF0000"/>
          <w:w w:val="95"/>
          <w:lang w:val="en-US" w:eastAsia="zh-CN"/>
        </w:rPr>
        <w:t xml:space="preserve"> </w:t>
      </w:r>
      <w:r>
        <w:rPr>
          <w:rFonts w:hint="eastAsia" w:ascii="仿宋_GB2312" w:hAnsi="仿宋_GB2312" w:eastAsia="仿宋_GB2312" w:cs="仿宋_GB2312"/>
          <w:color w:val="auto"/>
          <w:w w:val="95"/>
          <w:sz w:val="32"/>
          <w:szCs w:val="32"/>
          <w:lang w:eastAsia="zh-CN"/>
        </w:rPr>
        <w:t>（</w:t>
      </w:r>
      <w:r>
        <w:rPr>
          <w:rFonts w:hint="eastAsia" w:ascii="仿宋_GB2312" w:hAnsi="仿宋_GB2312" w:eastAsia="仿宋_GB2312" w:cs="仿宋_GB2312"/>
          <w:color w:val="auto"/>
          <w:w w:val="95"/>
          <w:sz w:val="32"/>
          <w:szCs w:val="32"/>
          <w:lang w:val="en-US" w:eastAsia="zh-CN"/>
        </w:rPr>
        <w:t>5</w:t>
      </w:r>
      <w:r>
        <w:rPr>
          <w:rFonts w:hint="eastAsia" w:ascii="仿宋_GB2312" w:hAnsi="仿宋_GB2312" w:eastAsia="仿宋_GB2312" w:cs="仿宋_GB2312"/>
          <w:color w:val="auto"/>
          <w:w w:val="95"/>
          <w:sz w:val="32"/>
          <w:szCs w:val="32"/>
          <w:lang w:eastAsia="zh-CN"/>
        </w:rPr>
        <w:t>）</w:t>
      </w:r>
      <w:r>
        <w:rPr>
          <w:rFonts w:ascii="仿宋_GB2312" w:eastAsia="仿宋_GB2312"/>
          <w:color w:val="auto"/>
          <w:spacing w:val="-2"/>
          <w:w w:val="95"/>
          <w:sz w:val="32"/>
          <w:szCs w:val="32"/>
        </w:rPr>
        <w:t>参加政府采购活动前三年内，在经营活动中没有重大违法记录。</w:t>
      </w:r>
    </w:p>
    <w:p>
      <w:pPr>
        <w:pStyle w:val="9"/>
        <w:keepNext w:val="0"/>
        <w:keepLines w:val="0"/>
        <w:pageBreakBefore w:val="0"/>
        <w:widowControl w:val="0"/>
        <w:tabs>
          <w:tab w:val="left" w:pos="1923"/>
        </w:tabs>
        <w:kinsoku w:val="0"/>
        <w:wordWrap/>
        <w:overflowPunct w:val="0"/>
        <w:topLinePunct w:val="0"/>
        <w:autoSpaceDE w:val="0"/>
        <w:autoSpaceDN w:val="0"/>
        <w:bidi w:val="0"/>
        <w:adjustRightInd w:val="0"/>
        <w:snapToGrid/>
        <w:spacing w:before="0" w:line="560" w:lineRule="exact"/>
        <w:ind w:left="0" w:right="0" w:firstLine="600" w:firstLineChars="200"/>
        <w:textAlignment w:val="auto"/>
        <w:rPr>
          <w:rFonts w:ascii="仿宋_GB2312" w:eastAsia="仿宋_GB2312"/>
          <w:color w:val="auto"/>
          <w:spacing w:val="-2"/>
          <w:w w:val="95"/>
          <w:sz w:val="32"/>
        </w:rPr>
      </w:pPr>
      <w:r>
        <w:rPr>
          <w:rFonts w:ascii="仿宋_GB2312" w:eastAsia="仿宋_GB2312"/>
          <w:color w:val="auto"/>
          <w:spacing w:val="-2"/>
          <w:w w:val="95"/>
          <w:sz w:val="32"/>
          <w:szCs w:val="32"/>
        </w:rPr>
        <w:t>2</w:t>
      </w:r>
      <w:r>
        <w:rPr>
          <w:rFonts w:hint="eastAsia" w:ascii="仿宋_GB2312" w:eastAsia="仿宋_GB2312"/>
          <w:color w:val="auto"/>
          <w:spacing w:val="-2"/>
          <w:w w:val="95"/>
          <w:sz w:val="32"/>
          <w:szCs w:val="32"/>
          <w:lang w:val="en-US" w:eastAsia="zh-CN"/>
        </w:rPr>
        <w:t>.</w:t>
      </w:r>
      <w:r>
        <w:rPr>
          <w:rFonts w:ascii="仿宋_GB2312" w:eastAsia="仿宋_GB2312"/>
          <w:color w:val="auto"/>
          <w:spacing w:val="-2"/>
          <w:w w:val="95"/>
          <w:sz w:val="32"/>
        </w:rPr>
        <w:t>本项目不接受联合体投标，不允许将项目分包或转包。</w:t>
      </w:r>
    </w:p>
    <w:p>
      <w:pPr>
        <w:pStyle w:val="9"/>
        <w:keepNext w:val="0"/>
        <w:keepLines w:val="0"/>
        <w:pageBreakBefore w:val="0"/>
        <w:widowControl w:val="0"/>
        <w:tabs>
          <w:tab w:val="left" w:pos="1923"/>
        </w:tabs>
        <w:kinsoku w:val="0"/>
        <w:wordWrap/>
        <w:overflowPunct w:val="0"/>
        <w:topLinePunct w:val="0"/>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auto"/>
          <w:spacing w:val="-2"/>
          <w:w w:val="95"/>
          <w:sz w:val="32"/>
          <w:lang w:eastAsia="zh-CN"/>
        </w:rPr>
      </w:pPr>
      <w:r>
        <w:rPr>
          <w:rFonts w:hint="eastAsia" w:ascii="仿宋_GB2312" w:eastAsia="仿宋_GB2312"/>
          <w:color w:val="auto"/>
          <w:spacing w:val="-2"/>
          <w:w w:val="95"/>
          <w:sz w:val="32"/>
          <w:lang w:val="en-US" w:eastAsia="zh-CN"/>
        </w:rPr>
        <w:t>3.投标人</w:t>
      </w:r>
      <w:r>
        <w:rPr>
          <w:rFonts w:ascii="仿宋_GB2312" w:eastAsia="仿宋_GB2312"/>
          <w:color w:val="auto"/>
          <w:spacing w:val="-2"/>
          <w:w w:val="95"/>
          <w:sz w:val="32"/>
        </w:rPr>
        <w:t>应自觉抵制商业贿赂行为，投标人到中标公告期结束前三年内无行贿犯罪记录</w:t>
      </w:r>
      <w:r>
        <w:rPr>
          <w:rFonts w:hint="eastAsia" w:ascii="仿宋_GB2312" w:eastAsia="仿宋_GB2312"/>
          <w:color w:val="auto"/>
          <w:spacing w:val="-2"/>
          <w:w w:val="95"/>
          <w:sz w:val="32"/>
          <w:lang w:eastAsia="zh-CN"/>
        </w:rPr>
        <w:t>。</w:t>
      </w:r>
    </w:p>
    <w:p>
      <w:pPr>
        <w:pStyle w:val="9"/>
        <w:keepNext w:val="0"/>
        <w:keepLines w:val="0"/>
        <w:pageBreakBefore w:val="0"/>
        <w:widowControl w:val="0"/>
        <w:tabs>
          <w:tab w:val="left" w:pos="1923"/>
        </w:tabs>
        <w:kinsoku w:val="0"/>
        <w:wordWrap/>
        <w:overflowPunct w:val="0"/>
        <w:topLinePunct w:val="0"/>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auto"/>
          <w:spacing w:val="-2"/>
          <w:w w:val="95"/>
          <w:sz w:val="32"/>
          <w:lang w:eastAsia="zh-CN"/>
        </w:rPr>
      </w:pPr>
      <w:r>
        <w:rPr>
          <w:rFonts w:hint="eastAsia" w:ascii="仿宋_GB2312" w:eastAsia="仿宋_GB2312"/>
          <w:color w:val="auto"/>
          <w:spacing w:val="-2"/>
          <w:w w:val="95"/>
          <w:sz w:val="32"/>
          <w:lang w:val="en-US" w:eastAsia="zh-CN"/>
        </w:rPr>
        <w:t>4.</w:t>
      </w:r>
      <w:r>
        <w:rPr>
          <w:rFonts w:hint="eastAsia" w:ascii="仿宋_GB2312" w:eastAsia="仿宋_GB2312"/>
          <w:color w:val="auto"/>
          <w:spacing w:val="-2"/>
          <w:w w:val="95"/>
          <w:sz w:val="32"/>
        </w:rPr>
        <w:t>投标人参与本项目采购活动时不存在被有关部门禁止参与政府采购活动且在有效期内的情况</w:t>
      </w:r>
      <w:r>
        <w:rPr>
          <w:rFonts w:hint="eastAsia" w:ascii="仿宋_GB2312" w:eastAsia="仿宋_GB2312"/>
          <w:color w:val="auto"/>
          <w:spacing w:val="-2"/>
          <w:w w:val="95"/>
          <w:sz w:val="32"/>
          <w:lang w:eastAsia="zh-CN"/>
        </w:rPr>
        <w:t>。</w:t>
      </w:r>
    </w:p>
    <w:p>
      <w:pPr>
        <w:pStyle w:val="9"/>
        <w:keepNext w:val="0"/>
        <w:keepLines w:val="0"/>
        <w:pageBreakBefore w:val="0"/>
        <w:widowControl w:val="0"/>
        <w:tabs>
          <w:tab w:val="left" w:pos="1923"/>
        </w:tabs>
        <w:kinsoku w:val="0"/>
        <w:wordWrap/>
        <w:overflowPunct w:val="0"/>
        <w:topLinePunct w:val="0"/>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5.</w:t>
      </w:r>
      <w:r>
        <w:rPr>
          <w:rFonts w:hint="eastAsia" w:ascii="仿宋_GB2312" w:eastAsia="仿宋_GB2312"/>
          <w:color w:val="auto"/>
          <w:spacing w:val="-2"/>
          <w:w w:val="95"/>
          <w:sz w:val="32"/>
        </w:rPr>
        <w:t>参与本项目投标前三年内，未受过司法部门的行政处罚或者律师协会的行业处分及在经营活动中无重大违法违规记录</w:t>
      </w:r>
      <w:r>
        <w:rPr>
          <w:rFonts w:hint="eastAsia" w:ascii="仿宋_GB2312" w:eastAsia="仿宋_GB2312"/>
          <w:color w:val="auto"/>
          <w:spacing w:val="-2"/>
          <w:w w:val="95"/>
          <w:sz w:val="32"/>
          <w:lang w:eastAsia="zh-CN"/>
        </w:rPr>
        <w:t>。</w:t>
      </w:r>
    </w:p>
    <w:p>
      <w:pPr>
        <w:keepNext w:val="0"/>
        <w:keepLines w:val="0"/>
        <w:pageBreakBefore w:val="0"/>
        <w:widowControl w:val="0"/>
        <w:wordWrap/>
        <w:topLinePunct w:val="0"/>
        <w:bidi w:val="0"/>
        <w:snapToGrid/>
        <w:spacing w:line="56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三、评标定标方法</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采用</w:t>
      </w:r>
      <w:r>
        <w:rPr>
          <w:rFonts w:hint="eastAsia" w:ascii="仿宋_GB2312" w:hAnsi="仿宋_GB2312" w:eastAsia="仿宋_GB2312" w:cs="仿宋_GB2312"/>
          <w:sz w:val="32"/>
          <w:szCs w:val="32"/>
          <w:lang w:eastAsia="zh-CN"/>
        </w:rPr>
        <w:t>票决</w:t>
      </w:r>
      <w:r>
        <w:rPr>
          <w:rFonts w:hint="eastAsia" w:ascii="仿宋_GB2312" w:hAnsi="仿宋_GB2312" w:eastAsia="仿宋_GB2312" w:cs="仿宋_GB2312"/>
          <w:sz w:val="32"/>
          <w:szCs w:val="32"/>
        </w:rPr>
        <w:t>法。</w:t>
      </w:r>
    </w:p>
    <w:p>
      <w:pPr>
        <w:keepNext w:val="0"/>
        <w:keepLines w:val="0"/>
        <w:pageBreakBefore w:val="0"/>
        <w:widowControl w:val="0"/>
        <w:wordWrap/>
        <w:topLinePunct w:val="0"/>
        <w:bidi w:val="0"/>
        <w:snapToGrid/>
        <w:spacing w:line="56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四、商务需求</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（一）服务期：</w:t>
      </w:r>
      <w:r>
        <w:rPr>
          <w:rFonts w:hint="eastAsia" w:ascii="仿宋_GB2312" w:hAnsi="仿宋_GB2312" w:eastAsia="仿宋_GB2312" w:cs="仿宋_GB2312"/>
          <w:snapToGrid/>
          <w:color w:val="auto"/>
          <w:spacing w:val="0"/>
          <w:kern w:val="2"/>
          <w:sz w:val="32"/>
          <w:szCs w:val="32"/>
          <w:highlight w:val="none"/>
        </w:rPr>
        <w:t>从签订合同之日起绩效评估完成为止。</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（二）服务地点：深圳市。</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（三）报价要求：</w:t>
      </w:r>
    </w:p>
    <w:p>
      <w:pPr>
        <w:pStyle w:val="9"/>
        <w:keepNext w:val="0"/>
        <w:keepLines w:val="0"/>
        <w:pageBreakBefore w:val="0"/>
        <w:widowControl w:val="0"/>
        <w:tabs>
          <w:tab w:val="left" w:pos="1923"/>
        </w:tabs>
        <w:kinsoku w:val="0"/>
        <w:wordWrap/>
        <w:overflowPunct w:val="0"/>
        <w:topLinePunct w:val="0"/>
        <w:autoSpaceDE w:val="0"/>
        <w:autoSpaceDN w:val="0"/>
        <w:bidi w:val="0"/>
        <w:adjustRightInd w:val="0"/>
        <w:snapToGrid/>
        <w:spacing w:before="0" w:line="560" w:lineRule="exact"/>
        <w:ind w:left="0" w:right="0" w:firstLine="600" w:firstLineChars="200"/>
        <w:textAlignment w:val="auto"/>
        <w:rPr>
          <w:rFonts w:hint="default" w:ascii="仿宋_GB2312" w:eastAsia="仿宋_GB2312"/>
          <w:color w:val="auto"/>
          <w:spacing w:val="-2"/>
          <w:w w:val="95"/>
          <w:sz w:val="32"/>
        </w:rPr>
      </w:pPr>
      <w:r>
        <w:rPr>
          <w:rFonts w:ascii="仿宋_GB2312" w:eastAsia="仿宋_GB2312"/>
          <w:color w:val="auto"/>
          <w:spacing w:val="-2"/>
          <w:w w:val="95"/>
          <w:sz w:val="32"/>
        </w:rPr>
        <w:t>1</w:t>
      </w:r>
      <w:r>
        <w:rPr>
          <w:rFonts w:hint="eastAsia" w:ascii="仿宋_GB2312" w:eastAsia="仿宋_GB2312"/>
          <w:color w:val="auto"/>
          <w:spacing w:val="-2"/>
          <w:w w:val="95"/>
          <w:sz w:val="32"/>
          <w:lang w:val="en-US" w:eastAsia="zh-CN"/>
        </w:rPr>
        <w:t>.</w:t>
      </w:r>
      <w:r>
        <w:rPr>
          <w:rFonts w:ascii="仿宋_GB2312" w:eastAsia="仿宋_GB2312"/>
          <w:color w:val="auto"/>
          <w:spacing w:val="-2"/>
          <w:w w:val="95"/>
          <w:sz w:val="32"/>
        </w:rPr>
        <w:t>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pStyle w:val="9"/>
        <w:keepNext w:val="0"/>
        <w:keepLines w:val="0"/>
        <w:pageBreakBefore w:val="0"/>
        <w:widowControl w:val="0"/>
        <w:tabs>
          <w:tab w:val="left" w:pos="1923"/>
        </w:tabs>
        <w:kinsoku w:val="0"/>
        <w:wordWrap/>
        <w:overflowPunct w:val="0"/>
        <w:topLinePunct w:val="0"/>
        <w:autoSpaceDE w:val="0"/>
        <w:autoSpaceDN w:val="0"/>
        <w:bidi w:val="0"/>
        <w:adjustRightInd w:val="0"/>
        <w:snapToGrid/>
        <w:spacing w:before="0" w:line="560" w:lineRule="exact"/>
        <w:ind w:left="0" w:right="0" w:firstLine="600" w:firstLineChars="200"/>
        <w:textAlignment w:val="auto"/>
        <w:rPr>
          <w:rFonts w:hint="default" w:ascii="仿宋_GB2312" w:eastAsia="仿宋_GB2312"/>
          <w:color w:val="auto"/>
          <w:spacing w:val="-2"/>
          <w:w w:val="95"/>
          <w:sz w:val="32"/>
        </w:rPr>
      </w:pPr>
      <w:r>
        <w:rPr>
          <w:rFonts w:hint="eastAsia" w:ascii="仿宋_GB2312" w:eastAsia="仿宋_GB2312"/>
          <w:color w:val="auto"/>
          <w:spacing w:val="-2"/>
          <w:w w:val="95"/>
          <w:sz w:val="32"/>
          <w:lang w:val="en-US" w:eastAsia="zh-CN"/>
        </w:rPr>
        <w:t>2.</w:t>
      </w:r>
      <w:r>
        <w:rPr>
          <w:rFonts w:ascii="仿宋_GB2312" w:eastAsia="仿宋_GB2312"/>
          <w:color w:val="auto"/>
          <w:spacing w:val="-2"/>
          <w:w w:val="95"/>
          <w:sz w:val="32"/>
        </w:rPr>
        <w:t>投标供应商的报价不得超过项目预算金额。</w:t>
      </w:r>
    </w:p>
    <w:p>
      <w:pPr>
        <w:pStyle w:val="9"/>
        <w:keepNext w:val="0"/>
        <w:keepLines w:val="0"/>
        <w:pageBreakBefore w:val="0"/>
        <w:widowControl w:val="0"/>
        <w:tabs>
          <w:tab w:val="left" w:pos="1923"/>
        </w:tabs>
        <w:kinsoku w:val="0"/>
        <w:wordWrap/>
        <w:overflowPunct w:val="0"/>
        <w:topLinePunct w:val="0"/>
        <w:autoSpaceDE w:val="0"/>
        <w:autoSpaceDN w:val="0"/>
        <w:bidi w:val="0"/>
        <w:adjustRightInd w:val="0"/>
        <w:snapToGrid/>
        <w:spacing w:before="0" w:line="560" w:lineRule="exact"/>
        <w:ind w:left="0" w:right="0" w:firstLine="600" w:firstLineChars="200"/>
        <w:jc w:val="both"/>
        <w:textAlignment w:val="auto"/>
        <w:rPr>
          <w:rFonts w:hint="eastAsia" w:ascii="仿宋_GB2312" w:eastAsia="仿宋_GB2312"/>
          <w:color w:val="auto"/>
          <w:spacing w:val="-2"/>
          <w:w w:val="95"/>
          <w:sz w:val="32"/>
          <w:lang w:eastAsia="zh-CN"/>
        </w:rPr>
      </w:pPr>
      <w:r>
        <w:rPr>
          <w:rFonts w:hint="eastAsia" w:ascii="仿宋_GB2312" w:eastAsia="仿宋_GB2312"/>
          <w:color w:val="auto"/>
          <w:spacing w:val="-2"/>
          <w:w w:val="95"/>
          <w:sz w:val="32"/>
          <w:lang w:val="en-US" w:eastAsia="zh-CN"/>
        </w:rPr>
        <w:t>3.</w:t>
      </w:r>
      <w:r>
        <w:rPr>
          <w:rFonts w:ascii="仿宋_GB2312" w:eastAsia="仿宋_GB2312"/>
          <w:color w:val="auto"/>
          <w:spacing w:val="-2"/>
          <w:w w:val="95"/>
          <w:sz w:val="32"/>
        </w:rPr>
        <w:t>投标供应商的报价</w:t>
      </w:r>
      <w:r>
        <w:rPr>
          <w:rFonts w:hint="eastAsia" w:ascii="仿宋_GB2312" w:eastAsia="仿宋_GB2312"/>
          <w:color w:val="auto"/>
          <w:spacing w:val="-2"/>
          <w:w w:val="95"/>
          <w:sz w:val="32"/>
          <w:lang w:eastAsia="zh-CN"/>
        </w:rPr>
        <w:t>，</w:t>
      </w:r>
      <w:r>
        <w:rPr>
          <w:rFonts w:ascii="仿宋_GB2312" w:eastAsia="仿宋_GB2312"/>
          <w:color w:val="auto"/>
          <w:spacing w:val="-2"/>
          <w:w w:val="95"/>
          <w:sz w:val="32"/>
        </w:rPr>
        <w:t>应当是本项目采购范围和采购文件及合同条款上所列的各项内容中所述的全部，不得以任何理由予以重复</w:t>
      </w:r>
      <w:r>
        <w:rPr>
          <w:rFonts w:hint="eastAsia" w:ascii="仿宋_GB2312" w:eastAsia="仿宋_GB2312"/>
          <w:color w:val="auto"/>
          <w:spacing w:val="-2"/>
          <w:w w:val="95"/>
          <w:sz w:val="32"/>
          <w:lang w:eastAsia="zh-CN"/>
        </w:rPr>
        <w:t>。</w:t>
      </w:r>
    </w:p>
    <w:p>
      <w:pPr>
        <w:keepNext w:val="0"/>
        <w:keepLines w:val="0"/>
        <w:pageBreakBefore w:val="0"/>
        <w:widowControl w:val="0"/>
        <w:wordWrap/>
        <w:topLinePunct w:val="0"/>
        <w:bidi w:val="0"/>
        <w:snapToGrid/>
        <w:spacing w:line="560" w:lineRule="exact"/>
        <w:ind w:firstLine="640" w:firstLineChars="200"/>
        <w:textAlignment w:val="auto"/>
        <w:rPr>
          <w:rFonts w:hint="eastAsia" w:ascii="仿宋_GB2312" w:eastAsia="仿宋_GB2312"/>
          <w:color w:val="auto"/>
          <w:spacing w:val="-2"/>
          <w:w w:val="95"/>
          <w:sz w:val="32"/>
          <w:lang w:val="en-US" w:eastAsia="zh-CN"/>
        </w:rPr>
      </w:pPr>
      <w:r>
        <w:rPr>
          <w:rFonts w:hint="eastAsia" w:ascii="仿宋_GB2312" w:hAnsi="仿宋_GB2312" w:eastAsia="仿宋_GB2312" w:cs="仿宋_GB2312"/>
          <w:sz w:val="32"/>
          <w:szCs w:val="32"/>
          <w:lang w:val="en-US" w:eastAsia="zh-CN"/>
        </w:rPr>
        <w:t>（四）</w:t>
      </w:r>
      <w:r>
        <w:rPr>
          <w:rFonts w:hint="eastAsia" w:ascii="仿宋_GB2312" w:eastAsia="仿宋_GB2312" w:hAnsiTheme="minorHAnsi" w:cstheme="minorBidi"/>
          <w:color w:val="auto"/>
          <w:spacing w:val="-2"/>
          <w:w w:val="95"/>
          <w:kern w:val="2"/>
          <w:sz w:val="32"/>
          <w:szCs w:val="22"/>
          <w:lang w:val="en-US" w:eastAsia="zh-CN" w:bidi="ar-SA"/>
        </w:rPr>
        <w:t>付款方式：项目经费分两次支付，采购人于双方合同签订后30个工作日内支付项目总款的70%给中标人；项目结束后，采购人进行项目终期验收，验收通过后支付项目总款的30%给</w:t>
      </w:r>
      <w:r>
        <w:rPr>
          <w:rFonts w:hint="eastAsia" w:ascii="仿宋_GB2312" w:eastAsia="仿宋_GB2312"/>
          <w:color w:val="auto"/>
          <w:spacing w:val="-2"/>
          <w:w w:val="95"/>
          <w:sz w:val="32"/>
          <w:lang w:val="en-US" w:eastAsia="zh-CN"/>
        </w:rPr>
        <w:t>中标人。</w:t>
      </w:r>
    </w:p>
    <w:p>
      <w:pPr>
        <w:keepNext w:val="0"/>
        <w:keepLines w:val="0"/>
        <w:pageBreakBefore w:val="0"/>
        <w:widowControl w:val="0"/>
        <w:wordWrap/>
        <w:topLinePunct w:val="0"/>
        <w:bidi w:val="0"/>
        <w:snapToGrid/>
        <w:spacing w:line="560" w:lineRule="exact"/>
        <w:ind w:firstLine="600" w:firstLineChars="200"/>
        <w:textAlignment w:val="auto"/>
        <w:rPr>
          <w:rFonts w:hint="eastAsia" w:ascii="仿宋_GB2312" w:eastAsia="仿宋_GB2312"/>
          <w:color w:val="auto"/>
          <w:spacing w:val="-2"/>
          <w:w w:val="95"/>
          <w:sz w:val="32"/>
          <w:lang w:eastAsia="zh-CN"/>
        </w:rPr>
      </w:pPr>
      <w:r>
        <w:rPr>
          <w:rFonts w:hint="eastAsia" w:ascii="仿宋_GB2312" w:eastAsia="仿宋_GB2312"/>
          <w:color w:val="auto"/>
          <w:spacing w:val="-2"/>
          <w:w w:val="95"/>
          <w:sz w:val="32"/>
          <w:lang w:eastAsia="zh-CN"/>
        </w:rPr>
        <w:t>（五）项目交付时间：投标人中标后，与采购人签订协议之日起一年内，完成绩效评估。</w:t>
      </w:r>
    </w:p>
    <w:p>
      <w:pPr>
        <w:keepNext w:val="0"/>
        <w:keepLines w:val="0"/>
        <w:pageBreakBefore w:val="0"/>
        <w:widowControl w:val="0"/>
        <w:wordWrap/>
        <w:topLinePunct w:val="0"/>
        <w:bidi w:val="0"/>
        <w:snapToGrid/>
        <w:spacing w:line="560" w:lineRule="exact"/>
        <w:ind w:firstLine="600" w:firstLineChars="200"/>
        <w:textAlignment w:val="auto"/>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eastAsia="zh-CN"/>
        </w:rPr>
        <w:t>（六）项目验收：项目由深圳市残疾人联合会依照项目实施时间进度要求，组织项目验收。</w:t>
      </w:r>
    </w:p>
    <w:p>
      <w:pPr>
        <w:keepNext w:val="0"/>
        <w:keepLines w:val="0"/>
        <w:pageBreakBefore w:val="0"/>
        <w:widowControl w:val="0"/>
        <w:wordWrap/>
        <w:topLinePunct w:val="0"/>
        <w:bidi w:val="0"/>
        <w:snapToGrid/>
        <w:spacing w:line="560" w:lineRule="exact"/>
        <w:ind w:firstLine="600" w:firstLineChars="200"/>
        <w:textAlignment w:val="auto"/>
        <w:rPr>
          <w:rFonts w:hint="eastAsia" w:ascii="仿宋_GB2312" w:hAnsi="Times New Roman" w:eastAsia="仿宋_GB2312" w:cs="Times New Roman"/>
          <w:color w:val="auto"/>
          <w:spacing w:val="-2"/>
          <w:w w:val="95"/>
          <w:kern w:val="2"/>
          <w:sz w:val="32"/>
          <w:szCs w:val="24"/>
          <w:lang w:val="en-US" w:eastAsia="zh-CN" w:bidi="ar-SA"/>
        </w:rPr>
      </w:pPr>
      <w:r>
        <w:rPr>
          <w:rFonts w:hint="eastAsia" w:ascii="仿宋_GB2312" w:eastAsia="仿宋_GB2312"/>
          <w:color w:val="auto"/>
          <w:spacing w:val="-2"/>
          <w:w w:val="95"/>
          <w:sz w:val="32"/>
          <w:lang w:val="en-US" w:eastAsia="zh-CN"/>
        </w:rPr>
        <w:t>（七）</w:t>
      </w:r>
      <w:r>
        <w:rPr>
          <w:rFonts w:hint="eastAsia" w:ascii="仿宋_GB2312" w:eastAsia="仿宋_GB2312"/>
          <w:color w:val="auto"/>
          <w:spacing w:val="-2"/>
          <w:w w:val="95"/>
          <w:sz w:val="32"/>
          <w:lang w:eastAsia="zh-CN"/>
        </w:rPr>
        <w:t>保密要求：中标单位对开展项目所取得的信息和内容保密，不得对外或向第三方披露。</w:t>
      </w:r>
    </w:p>
    <w:p>
      <w:pPr>
        <w:keepNext w:val="0"/>
        <w:keepLines w:val="0"/>
        <w:pageBreakBefore w:val="0"/>
        <w:widowControl w:val="0"/>
        <w:wordWrap/>
        <w:topLinePunct w:val="0"/>
        <w:bidi w:val="0"/>
        <w:snapToGrid/>
        <w:spacing w:line="560" w:lineRule="exact"/>
        <w:ind w:firstLine="600" w:firstLineChars="200"/>
        <w:textAlignment w:val="auto"/>
        <w:rPr>
          <w:rFonts w:hint="eastAsia" w:ascii="仿宋_GB2312" w:hAnsi="Times New Roman" w:eastAsia="仿宋_GB2312" w:cs="Times New Roman"/>
          <w:color w:val="auto"/>
          <w:spacing w:val="-2"/>
          <w:w w:val="95"/>
          <w:kern w:val="2"/>
          <w:sz w:val="32"/>
          <w:szCs w:val="24"/>
          <w:lang w:val="en-US" w:eastAsia="zh-CN" w:bidi="ar-SA"/>
        </w:rPr>
      </w:pPr>
      <w:r>
        <w:rPr>
          <w:rFonts w:hint="eastAsia" w:ascii="仿宋_GB2312" w:eastAsia="仿宋_GB2312"/>
          <w:color w:val="auto"/>
          <w:spacing w:val="-2"/>
          <w:w w:val="95"/>
          <w:sz w:val="32"/>
          <w:lang w:eastAsia="zh-CN"/>
        </w:rPr>
        <w:t>（八）</w:t>
      </w:r>
      <w:r>
        <w:rPr>
          <w:rFonts w:hint="eastAsia" w:ascii="仿宋_GB2312" w:hAnsi="Times New Roman" w:eastAsia="仿宋_GB2312" w:cs="Times New Roman"/>
          <w:color w:val="auto"/>
          <w:spacing w:val="-2"/>
          <w:w w:val="95"/>
          <w:kern w:val="2"/>
          <w:sz w:val="32"/>
          <w:szCs w:val="24"/>
          <w:lang w:val="en-US" w:eastAsia="zh-CN" w:bidi="ar-SA"/>
        </w:rPr>
        <w:t>违约责任：以合同签订的违约责任确定。</w:t>
      </w:r>
    </w:p>
    <w:p>
      <w:pPr>
        <w:pStyle w:val="3"/>
        <w:keepNext w:val="0"/>
        <w:keepLines w:val="0"/>
        <w:pageBreakBefore w:val="0"/>
        <w:widowControl w:val="0"/>
        <w:wordWrap/>
        <w:topLinePunct w:val="0"/>
        <w:bidi w:val="0"/>
        <w:snapToGrid/>
        <w:spacing w:line="560" w:lineRule="exact"/>
        <w:textAlignment w:val="auto"/>
        <w:rPr>
          <w:rFonts w:hint="eastAsia"/>
        </w:rPr>
      </w:pP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E1C4B"/>
    <w:multiLevelType w:val="multilevel"/>
    <w:tmpl w:val="1A1E1C4B"/>
    <w:lvl w:ilvl="0" w:tentative="0">
      <w:start w:val="1"/>
      <w:numFmt w:val="chineseCountingThousand"/>
      <w:lvlText w:val="第%1章"/>
      <w:lvlJc w:val="left"/>
      <w:pPr>
        <w:ind w:left="420" w:hanging="420"/>
      </w:pPr>
      <w:rPr>
        <w:rFonts w:hint="eastAsia"/>
      </w:rPr>
    </w:lvl>
    <w:lvl w:ilvl="1" w:tentative="0">
      <w:start w:val="1"/>
      <w:numFmt w:val="decimal"/>
      <w:pStyle w:val="2"/>
      <w:lvlText w:val="1.%2"/>
      <w:lvlJc w:val="left"/>
      <w:pPr>
        <w:ind w:left="420" w:hanging="420"/>
      </w:pPr>
      <w:rPr>
        <w:rFonts w:hint="default" w:ascii="Calibri Light" w:hAnsi="Calibri Light" w:eastAsia="宋体" w:cs="Calibri"/>
        <w:sz w:val="32"/>
        <w:szCs w:val="32"/>
      </w:rPr>
    </w:lvl>
    <w:lvl w:ilvl="2" w:tentative="0">
      <w:start w:val="1"/>
      <w:numFmt w:val="decimal"/>
      <w:lvlText w:val="1.1.%3"/>
      <w:lvlJc w:val="left"/>
      <w:pPr>
        <w:ind w:left="420" w:firstLine="147"/>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208D1FD4"/>
    <w:rsid w:val="37EF727D"/>
    <w:rsid w:val="4A1947CF"/>
    <w:rsid w:val="77FB8CCF"/>
    <w:rsid w:val="BDEB7FAF"/>
    <w:rsid w:val="FE7F7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Body Text"/>
    <w:basedOn w:val="1"/>
    <w:unhideWhenUsed/>
    <w:qFormat/>
    <w:uiPriority w:val="99"/>
    <w:pPr>
      <w:spacing w:beforeLines="0" w:afterLines="0"/>
    </w:pPr>
    <w:rPr>
      <w:rFonts w:hint="eastAsia"/>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List Paragraph"/>
    <w:basedOn w:val="1"/>
    <w:unhideWhenUsed/>
    <w:qFormat/>
    <w:uiPriority w:val="1"/>
    <w:pPr>
      <w:spacing w:before="2"/>
      <w:ind w:left="960" w:right="980" w:firstLine="640"/>
    </w:pPr>
    <w:rPr>
      <w:rFonts w:hint="eastAsi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雷仙金</cp:lastModifiedBy>
  <dcterms:modified xsi:type="dcterms:W3CDTF">2024-07-25T08:40:16Z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80E57DB452034A33A69F5EB8CD1F6DF9</vt:lpwstr>
  </property>
</Properties>
</file>