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招标编号：ZHZB2023014</w:t>
      </w:r>
    </w:p>
    <w:p>
      <w:pPr>
        <w:jc w:val="center"/>
        <w:rPr>
          <w:color w:val="FF0000"/>
          <w:sz w:val="44"/>
          <w:szCs w:val="44"/>
        </w:rPr>
      </w:pP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特殊教育教具及玩教具购置——特殊儿童专用设备校准维护和升级服务招标公告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（第二次）</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1.项目编号：JB2023-26-3</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2.项目名称：特殊教育教具及玩教具购置——特殊儿童专用设备校准维护和升级服务</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sz w:val="32"/>
          <w:szCs w:val="32"/>
        </w:rPr>
        <w:t>3.预算金额：人</w:t>
      </w:r>
      <w:r>
        <w:rPr>
          <w:rFonts w:hint="eastAsia" w:ascii="仿宋_GB2312" w:eastAsia="仿宋_GB2312"/>
          <w:color w:val="000000" w:themeColor="text1"/>
          <w:sz w:val="32"/>
          <w:szCs w:val="32"/>
        </w:rPr>
        <w:t>民币</w:t>
      </w:r>
      <w:r>
        <w:rPr>
          <w:rFonts w:ascii="仿宋_GB2312" w:eastAsia="仿宋_GB2312"/>
          <w:color w:val="000000" w:themeColor="text1"/>
          <w:sz w:val="32"/>
          <w:szCs w:val="32"/>
        </w:rPr>
        <w:t>60000</w:t>
      </w:r>
      <w:r>
        <w:rPr>
          <w:rFonts w:hint="eastAsia" w:ascii="仿宋_GB2312" w:eastAsia="仿宋_GB2312"/>
          <w:color w:val="000000" w:themeColor="text1"/>
          <w:sz w:val="32"/>
          <w:szCs w:val="32"/>
        </w:rPr>
        <w:t>元</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4.最高限价：人民币</w:t>
      </w:r>
      <w:r>
        <w:rPr>
          <w:rFonts w:ascii="仿宋_GB2312" w:eastAsia="仿宋_GB2312"/>
          <w:color w:val="000000" w:themeColor="text1"/>
          <w:sz w:val="32"/>
          <w:szCs w:val="32"/>
        </w:rPr>
        <w:t>60000</w:t>
      </w:r>
      <w:r>
        <w:rPr>
          <w:rFonts w:hint="eastAsia" w:ascii="仿宋_GB2312" w:eastAsia="仿宋_GB2312"/>
          <w:color w:val="000000" w:themeColor="text1"/>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color w:val="000000" w:themeColor="text1"/>
          <w:sz w:val="32"/>
          <w:szCs w:val="32"/>
        </w:rPr>
        <w:t>5.采购需求：详见招标文件相</w:t>
      </w:r>
      <w:r>
        <w:rPr>
          <w:rFonts w:hint="eastAsia" w:ascii="仿宋_GB2312" w:eastAsia="仿宋_GB2312"/>
          <w:sz w:val="32"/>
          <w:szCs w:val="32"/>
        </w:rPr>
        <w:t>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9"/>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lang w:val="en-US" w:eastAsia="zh-CN"/>
        </w:rPr>
        <w:t>应在2023年4</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11</w:t>
      </w:r>
      <w:r>
        <w:rPr>
          <w:rFonts w:hint="eastAsia" w:ascii="仿宋_GB2312" w:eastAsia="仿宋_GB2312"/>
          <w:color w:val="000000" w:themeColor="text1"/>
          <w:sz w:val="32"/>
          <w:szCs w:val="32"/>
          <w:highlight w:val="none"/>
        </w:rPr>
        <w:t>日</w:t>
      </w:r>
      <w:r>
        <w:rPr>
          <w:rFonts w:hint="eastAsia" w:ascii="仿宋_GB2312" w:eastAsia="仿宋_GB2312"/>
          <w:sz w:val="32"/>
          <w:szCs w:val="32"/>
        </w:rPr>
        <w:t>17:00时前电话或以书面形式咨询招标机构，逾期恕不受理。在答疑咨询截止日期之后，我中心不再受理对招标参数的质疑</w:t>
      </w:r>
      <w:r>
        <w:rPr>
          <w:rFonts w:hint="eastAsia" w:ascii="仿宋_GB2312" w:eastAsia="仿宋_GB2312"/>
          <w:color w:val="000000" w:themeColor="text1"/>
          <w:sz w:val="32"/>
          <w:szCs w:val="32"/>
          <w:highlight w:val="none"/>
        </w:rPr>
        <w:t>。（联系人：金</w:t>
      </w:r>
      <w:r>
        <w:rPr>
          <w:rFonts w:hint="eastAsia" w:ascii="仿宋_GB2312" w:eastAsia="仿宋_GB2312"/>
          <w:color w:val="000000" w:themeColor="text1"/>
          <w:sz w:val="32"/>
          <w:szCs w:val="32"/>
          <w:highlight w:val="none"/>
          <w:lang w:val="en-US" w:eastAsia="zh-CN"/>
        </w:rPr>
        <w:t>先生</w:t>
      </w:r>
      <w:r>
        <w:rPr>
          <w:rFonts w:hint="eastAsia" w:ascii="仿宋_GB2312" w:eastAsia="仿宋_GB2312"/>
          <w:color w:val="000000" w:themeColor="text1"/>
          <w:sz w:val="32"/>
          <w:szCs w:val="32"/>
          <w:highlight w:val="none"/>
        </w:rPr>
        <w:t xml:space="preserve"> ，0755- 8</w:t>
      </w:r>
      <w:r>
        <w:rPr>
          <w:rFonts w:ascii="仿宋_GB2312" w:eastAsia="仿宋_GB2312"/>
          <w:color w:val="000000" w:themeColor="text1"/>
          <w:sz w:val="32"/>
          <w:szCs w:val="32"/>
          <w:highlight w:val="none"/>
        </w:rPr>
        <w:t>3654002</w:t>
      </w:r>
      <w:r>
        <w:rPr>
          <w:rFonts w:hint="eastAsia" w:ascii="仿宋_GB2312" w:eastAsia="仿宋_GB2312"/>
          <w:color w:val="000000" w:themeColor="text1"/>
          <w:sz w:val="32"/>
          <w:szCs w:val="32"/>
          <w:highlight w:val="none"/>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sz w:val="32"/>
          <w:szCs w:val="32"/>
        </w:rPr>
        <w:t>3年</w:t>
      </w:r>
      <w:r>
        <w:rPr>
          <w:rFonts w:hint="eastAsia" w:ascii="仿宋_GB2312" w:eastAsia="仿宋_GB2312"/>
          <w:color w:val="000000" w:themeColor="text1"/>
          <w:sz w:val="32"/>
          <w:szCs w:val="32"/>
          <w:highlight w:val="none"/>
          <w:lang w:val="en-US" w:eastAsia="zh-CN"/>
        </w:rPr>
        <w:t>4</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13日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518" w:leftChars="342" w:hanging="1800" w:hangingChars="500"/>
        <w:jc w:val="left"/>
        <w:rPr>
          <w:rFonts w:hint="eastAsia" w:ascii="宋体" w:hAnsi="宋体" w:eastAsia="宋体" w:cs="宋体"/>
          <w:color w:val="auto"/>
          <w:sz w:val="36"/>
          <w:szCs w:val="36"/>
        </w:rPr>
      </w:pPr>
      <w:r>
        <w:rPr>
          <w:rFonts w:hint="eastAsia" w:ascii="宋体" w:hAnsi="宋体" w:eastAsia="宋体" w:cs="宋体"/>
          <w:color w:val="auto"/>
          <w:sz w:val="36"/>
          <w:szCs w:val="36"/>
        </w:rPr>
        <w:t>项目名称：特殊教育教具及玩教具购置——特殊儿童专用设备校准维护和升级服务</w:t>
      </w:r>
    </w:p>
    <w:p>
      <w:pPr>
        <w:pStyle w:val="59"/>
        <w:ind w:left="2518" w:leftChars="342" w:hanging="1800" w:hangingChars="500"/>
        <w:jc w:val="left"/>
        <w:rPr>
          <w:rFonts w:hint="eastAsia" w:ascii="宋体" w:hAnsi="宋体" w:eastAsia="宋体" w:cs="宋体"/>
          <w:color w:val="auto"/>
          <w:sz w:val="36"/>
          <w:szCs w:val="36"/>
        </w:rPr>
      </w:pPr>
      <w:r>
        <w:rPr>
          <w:rFonts w:hint="eastAsia" w:ascii="宋体" w:hAnsi="宋体" w:eastAsia="宋体" w:cs="宋体"/>
          <w:color w:val="auto"/>
          <w:sz w:val="36"/>
          <w:szCs w:val="36"/>
        </w:rPr>
        <w:t>项目编号：JB2023-26-3</w:t>
      </w:r>
    </w:p>
    <w:p>
      <w:pPr>
        <w:pStyle w:val="59"/>
        <w:ind w:left="2518" w:leftChars="342" w:hanging="1800" w:hangingChars="500"/>
        <w:jc w:val="left"/>
        <w:rPr>
          <w:rFonts w:hint="eastAsia" w:ascii="宋体" w:hAnsi="宋体" w:eastAsia="宋体" w:cs="宋体"/>
          <w:color w:val="auto"/>
          <w:sz w:val="36"/>
          <w:szCs w:val="36"/>
        </w:rPr>
      </w:pPr>
      <w:r>
        <w:rPr>
          <w:rFonts w:hint="eastAsia" w:ascii="宋体" w:hAnsi="宋体" w:eastAsia="宋体" w:cs="宋体"/>
          <w:color w:val="auto"/>
          <w:sz w:val="36"/>
          <w:szCs w:val="36"/>
        </w:rPr>
        <w:t>招标编号：ZHZB2023014</w:t>
      </w:r>
    </w:p>
    <w:p>
      <w:pPr>
        <w:pStyle w:val="59"/>
        <w:ind w:left="2518" w:leftChars="342" w:hanging="1800" w:hangingChars="500"/>
        <w:jc w:val="left"/>
        <w:rPr>
          <w:rFonts w:hint="eastAsia" w:ascii="宋体" w:hAnsi="宋体" w:eastAsia="宋体" w:cs="宋体"/>
          <w:color w:val="auto"/>
          <w:sz w:val="36"/>
          <w:szCs w:val="36"/>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rPr>
        <w:t>2023年</w:t>
      </w:r>
      <w:r>
        <w:rPr>
          <w:rFonts w:hint="eastAsia" w:ascii="仿宋_GB2312" w:hAnsi="宋体"/>
          <w:color w:val="auto"/>
          <w:sz w:val="32"/>
          <w:szCs w:val="32"/>
          <w:lang w:val="en-US" w:eastAsia="zh-CN"/>
        </w:rPr>
        <w:t>4</w:t>
      </w:r>
      <w:r>
        <w:rPr>
          <w:rFonts w:hint="eastAsia" w:ascii="仿宋_GB2312" w:hAnsi="宋体"/>
          <w:color w:val="auto"/>
          <w:sz w:val="32"/>
          <w:szCs w:val="32"/>
        </w:rPr>
        <w:t>月</w:t>
      </w:r>
      <w:r>
        <w:rPr>
          <w:rFonts w:hint="eastAsia" w:ascii="仿宋_GB2312" w:hAnsi="宋体"/>
          <w:color w:val="auto"/>
          <w:sz w:val="32"/>
          <w:szCs w:val="32"/>
          <w:lang w:val="en-US" w:eastAsia="zh-CN"/>
        </w:rPr>
        <w:t>6</w:t>
      </w:r>
      <w:r>
        <w:rPr>
          <w:rFonts w:hint="eastAsia" w:ascii="仿宋_GB2312" w:hAnsi="宋体"/>
          <w:color w:val="auto"/>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color w:val="000000" w:themeColor="text1"/>
          <w:sz w:val="32"/>
          <w:szCs w:val="32"/>
        </w:rPr>
      </w:pPr>
      <w:r>
        <w:rPr>
          <w:rFonts w:hint="eastAsia" w:ascii="仿宋_GB2312" w:hAnsi="华文仿宋" w:eastAsia="仿宋_GB2312"/>
          <w:sz w:val="32"/>
          <w:szCs w:val="32"/>
        </w:rPr>
        <w:t>1.项</w:t>
      </w:r>
      <w:r>
        <w:rPr>
          <w:rFonts w:hint="eastAsia" w:ascii="仿宋_GB2312" w:hAnsi="华文仿宋" w:eastAsia="仿宋_GB2312"/>
          <w:color w:val="000000" w:themeColor="text1"/>
          <w:sz w:val="32"/>
          <w:szCs w:val="32"/>
        </w:rPr>
        <w:t>目编号：</w:t>
      </w:r>
      <w:r>
        <w:rPr>
          <w:rFonts w:ascii="仿宋_GB2312" w:hAnsi="华文仿宋" w:eastAsia="仿宋_GB2312"/>
          <w:color w:val="000000" w:themeColor="text1"/>
          <w:sz w:val="32"/>
          <w:szCs w:val="32"/>
        </w:rPr>
        <w:t>JB2023-26-3</w:t>
      </w:r>
    </w:p>
    <w:p>
      <w:pPr>
        <w:ind w:firstLine="640"/>
        <w:jc w:val="left"/>
        <w:rPr>
          <w:rFonts w:ascii="仿宋_GB2312" w:hAnsi="华文仿宋" w:eastAsia="仿宋_GB2312"/>
          <w:color w:val="000000" w:themeColor="text1"/>
          <w:sz w:val="32"/>
          <w:szCs w:val="32"/>
        </w:rPr>
      </w:pPr>
      <w:r>
        <w:rPr>
          <w:rFonts w:hint="eastAsia" w:ascii="仿宋_GB2312" w:hAnsi="华文仿宋" w:eastAsia="仿宋_GB2312"/>
          <w:color w:val="000000" w:themeColor="text1"/>
          <w:sz w:val="32"/>
          <w:szCs w:val="32"/>
        </w:rPr>
        <w:t>2.采购方式：公开招标</w:t>
      </w:r>
    </w:p>
    <w:p>
      <w:pPr>
        <w:ind w:firstLine="640"/>
        <w:jc w:val="left"/>
        <w:rPr>
          <w:rFonts w:hint="eastAsia" w:ascii="仿宋_GB2312" w:hAnsi="华文仿宋" w:eastAsia="仿宋_GB2312"/>
          <w:color w:val="000000" w:themeColor="text1"/>
          <w:sz w:val="32"/>
          <w:szCs w:val="32"/>
        </w:rPr>
      </w:pPr>
      <w:r>
        <w:rPr>
          <w:rFonts w:hint="eastAsia" w:ascii="仿宋_GB2312" w:hAnsi="华文仿宋" w:eastAsia="仿宋_GB2312"/>
          <w:color w:val="000000" w:themeColor="text1"/>
          <w:sz w:val="32"/>
          <w:szCs w:val="32"/>
        </w:rPr>
        <w:t>3.项目名称：</w:t>
      </w:r>
      <w:r>
        <w:rPr>
          <w:rFonts w:hint="cs" w:ascii="仿宋_GB2312" w:hAnsi="华文仿宋" w:eastAsia="仿宋_GB2312"/>
          <w:color w:val="000000" w:themeColor="text1"/>
          <w:sz w:val="32"/>
          <w:szCs w:val="32"/>
        </w:rPr>
        <w:t> </w:t>
      </w:r>
      <w:r>
        <w:rPr>
          <w:rFonts w:hint="eastAsia" w:ascii="仿宋_GB2312" w:hAnsi="华文仿宋" w:eastAsia="仿宋_GB2312"/>
          <w:color w:val="000000" w:themeColor="text1"/>
          <w:sz w:val="32"/>
          <w:szCs w:val="32"/>
        </w:rPr>
        <w:t>特殊教育教具及玩教具购置——特殊儿童专用设备校准维护和升级服务</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sz w:val="32"/>
          <w:szCs w:val="32"/>
          <w:highlight w:val="none"/>
          <w:lang w:val="en-US" w:eastAsia="zh-CN"/>
        </w:rPr>
        <w:t>，于2023年4</w:t>
      </w:r>
      <w:r>
        <w:rPr>
          <w:rFonts w:hint="eastAsia" w:ascii="仿宋_GB2312" w:hAnsi="华文仿宋" w:eastAsia="仿宋_GB2312"/>
          <w:sz w:val="32"/>
          <w:szCs w:val="32"/>
          <w:highlight w:val="none"/>
        </w:rPr>
        <w:t>月</w:t>
      </w:r>
      <w:r>
        <w:rPr>
          <w:rFonts w:hint="eastAsia" w:ascii="仿宋_GB2312" w:hAnsi="华文仿宋" w:eastAsia="仿宋_GB2312"/>
          <w:sz w:val="32"/>
          <w:szCs w:val="32"/>
          <w:highlight w:val="none"/>
          <w:lang w:val="en-US" w:eastAsia="zh-CN"/>
        </w:rPr>
        <w:t>13</w:t>
      </w:r>
      <w:r>
        <w:rPr>
          <w:rFonts w:hint="eastAsia" w:ascii="仿宋_GB2312" w:hAnsi="华文仿宋" w:eastAsia="仿宋_GB2312"/>
          <w:sz w:val="32"/>
          <w:szCs w:val="32"/>
          <w:highlight w:val="none"/>
        </w:rPr>
        <w:t>日</w:t>
      </w:r>
      <w:r>
        <w:rPr>
          <w:rFonts w:hint="eastAsia" w:ascii="仿宋_GB2312" w:hAnsi="华文仿宋" w:eastAsia="仿宋_GB2312"/>
          <w:sz w:val="32"/>
          <w:szCs w:val="32"/>
        </w:rPr>
        <w:t>下午17:00前，携带下列资料到深圳市福田区梅林路2号，过期未提交或资料不齐者视为放弃投标，以下资料均需加盖公章。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highlight w:val="none"/>
        </w:rPr>
        <w:t>3.中标者确定以后评标结果将在“深圳市残</w:t>
      </w:r>
      <w:r>
        <w:rPr>
          <w:rFonts w:hint="eastAsia" w:ascii="仿宋_GB2312" w:hAnsi="宋体" w:eastAsia="仿宋_GB2312"/>
          <w:sz w:val="32"/>
          <w:szCs w:val="32"/>
        </w:rPr>
        <w:t>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w:t>
      </w:r>
      <w:bookmarkStart w:id="26" w:name="_GoBack"/>
      <w:bookmarkEnd w:id="26"/>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一、项目介绍</w:t>
      </w:r>
    </w:p>
    <w:p>
      <w:pPr>
        <w:ind w:firstLine="640"/>
        <w:rPr>
          <w:rFonts w:hint="eastAsia" w:ascii="仿宋_GB2312" w:hAnsi="宋体" w:eastAsia="仿宋_GB2312"/>
          <w:sz w:val="32"/>
          <w:szCs w:val="32"/>
        </w:rPr>
      </w:pPr>
      <w:r>
        <w:rPr>
          <w:rFonts w:hint="eastAsia" w:ascii="仿宋_GB2312" w:hAnsi="宋体" w:eastAsia="仿宋_GB2312"/>
          <w:sz w:val="32"/>
          <w:szCs w:val="32"/>
        </w:rPr>
        <w:t>为保障融合教育部特教班园区日常康复教学工作的正常开展，拟委托符合资质的服务方对园内特殊儿童专用设备的软硬件进行日常维护。设备清单参见维护设备需求一览表。</w:t>
      </w: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二、具体要求</w:t>
      </w:r>
    </w:p>
    <w:p>
      <w:pPr>
        <w:ind w:firstLine="640"/>
        <w:rPr>
          <w:rFonts w:hint="eastAsia" w:ascii="仿宋_GB2312" w:hAnsi="宋体" w:eastAsia="仿宋_GB2312"/>
          <w:sz w:val="32"/>
          <w:szCs w:val="32"/>
        </w:rPr>
      </w:pPr>
      <w:r>
        <w:rPr>
          <w:rFonts w:hint="eastAsia" w:ascii="仿宋_GB2312" w:hAnsi="宋体" w:eastAsia="仿宋_GB2312"/>
          <w:sz w:val="32"/>
          <w:szCs w:val="32"/>
        </w:rPr>
        <w:t>1.服务名称、数量—技术要求：</w:t>
      </w:r>
    </w:p>
    <w:p>
      <w:pPr>
        <w:ind w:firstLine="640"/>
        <w:rPr>
          <w:rFonts w:hint="eastAsia" w:ascii="仿宋_GB2312" w:hAnsi="宋体" w:eastAsia="仿宋_GB2312"/>
          <w:sz w:val="32"/>
          <w:szCs w:val="32"/>
        </w:rPr>
      </w:pPr>
      <w:r>
        <w:rPr>
          <w:rFonts w:hint="eastAsia" w:ascii="仿宋_GB2312" w:hAnsi="宋体" w:eastAsia="仿宋_GB2312"/>
          <w:sz w:val="32"/>
          <w:szCs w:val="32"/>
        </w:rPr>
        <w:t>1.1特殊儿童专用设备校准维护需求一览表</w:t>
      </w:r>
    </w:p>
    <w:p>
      <w:pPr>
        <w:jc w:val="center"/>
        <w:rPr>
          <w:rFonts w:ascii="方正小标宋简体" w:hAnsi="方正小标宋简体" w:eastAsia="方正小标宋简体"/>
          <w:color w:val="000000" w:themeColor="text1"/>
          <w:sz w:val="32"/>
          <w:szCs w:val="32"/>
        </w:rPr>
      </w:pPr>
    </w:p>
    <w:tbl>
      <w:tblPr>
        <w:tblStyle w:val="45"/>
        <w:tblW w:w="11057"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87"/>
        <w:gridCol w:w="1056"/>
        <w:gridCol w:w="1843"/>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序号</w:t>
            </w:r>
          </w:p>
        </w:tc>
        <w:tc>
          <w:tcPr>
            <w:tcW w:w="1134"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设备名称</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品牌</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数量</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设备照片</w:t>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维护频次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维护效果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w:t>
            </w:r>
          </w:p>
        </w:tc>
        <w:tc>
          <w:tcPr>
            <w:tcW w:w="1134" w:type="dxa"/>
            <w:vAlign w:val="center"/>
          </w:tcPr>
          <w:p>
            <w:pPr>
              <w:tabs>
                <w:tab w:val="left" w:pos="529"/>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盲文</w:t>
            </w:r>
          </w:p>
          <w:p>
            <w:pPr>
              <w:tabs>
                <w:tab w:val="left" w:pos="529"/>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打字机</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帝助</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3台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79500" cy="809625"/>
                  <wp:effectExtent l="0" t="0" r="6350" b="9525"/>
                  <wp:docPr id="3"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绿色的行李箱&#10;&#10;描述已自动生成"/>
                          <pic:cNvPicPr>
                            <a:picLocks noChangeAspect="1"/>
                          </pic:cNvPicPr>
                        </pic:nvPicPr>
                        <pic:blipFill>
                          <a:blip r:embed="rId5"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保证转轴、案件、针头正常使用，设备运转正常。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2</w:t>
            </w:r>
          </w:p>
        </w:tc>
        <w:tc>
          <w:tcPr>
            <w:tcW w:w="1134" w:type="dxa"/>
            <w:vAlign w:val="center"/>
          </w:tcPr>
          <w:p>
            <w:pPr>
              <w:tabs>
                <w:tab w:val="left" w:pos="529"/>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盲用</w:t>
            </w:r>
          </w:p>
          <w:p>
            <w:pPr>
              <w:tabs>
                <w:tab w:val="left" w:pos="529"/>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制图仪</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帝助</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79500" cy="809625"/>
                  <wp:effectExtent l="0" t="0" r="6350" b="9525"/>
                  <wp:docPr id="2" name="图片 2"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桌子上放着蓝色的书&#10;&#10;描述已自动生成"/>
                          <pic:cNvPicPr>
                            <a:picLocks noChangeAspect="1"/>
                          </pic:cNvPicPr>
                        </pic:nvPicPr>
                        <pic:blipFill>
                          <a:blip r:embed="rId6"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保证电源正常供电及制图效果</w:t>
            </w:r>
          </w:p>
          <w:p>
            <w:pPr>
              <w:jc w:val="center"/>
              <w:rPr>
                <w:rFonts w:ascii="仿宋_GB2312" w:hAnsi="仿宋_GB2312" w:eastAsia="仿宋_GB2312"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3</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可伸缩</w:t>
            </w:r>
          </w:p>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盲杖</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帝助</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5支</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79500" cy="809625"/>
                  <wp:effectExtent l="0" t="0" r="6350" b="9525"/>
                  <wp:docPr id="4"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桌子上摆放着黑色的机器&#10;&#10;低可信度描述已自动生成"/>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080000" cy="809805"/>
                          </a:xfrm>
                          <a:prstGeom prst="rect">
                            <a:avLst/>
                          </a:prstGeom>
                        </pic:spPr>
                      </pic:pic>
                    </a:graphicData>
                  </a:graphic>
                </wp:inline>
              </w:drawing>
            </w:r>
          </w:p>
        </w:tc>
        <w:tc>
          <w:tcPr>
            <w:tcW w:w="1559" w:type="dxa"/>
            <w:vAlign w:val="center"/>
          </w:tcPr>
          <w:p>
            <w:pPr>
              <w:tabs>
                <w:tab w:val="left" w:pos="517"/>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p>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保证卡扣弹性，杖体能够灵活伸缩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4</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听力语言康复情景教学互动系统</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创维</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2台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23"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桌子上放着电视&#10;&#10;中度可信度描述已自动生成"/>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保证设备软硬件运行正常。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5</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听力语言康复多媒体互动教学系统</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希沃</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2台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保证设备软硬件运行正常。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6</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教学一体机</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希沃</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25"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屏幕上有个电视&#10;&#10;描述已自动生成"/>
                          <pic:cNvPicPr>
                            <a:picLocks noChangeAspect="1"/>
                          </pic:cNvPicPr>
                        </pic:nvPicPr>
                        <pic:blipFill>
                          <a:blip r:embed="rId10"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保证设备软硬件，投屏功能正常使用。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7</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班级信息展示L</w:t>
            </w:r>
            <w:r>
              <w:rPr>
                <w:rFonts w:ascii="仿宋_GB2312" w:hAnsi="仿宋_GB2312" w:eastAsia="仿宋_GB2312" w:cs="Times New Roman"/>
                <w:color w:val="000000" w:themeColor="text1"/>
              </w:rPr>
              <w:t>ED</w:t>
            </w:r>
            <w:r>
              <w:rPr>
                <w:rFonts w:hint="eastAsia" w:ascii="仿宋_GB2312" w:hAnsi="仿宋_GB2312" w:eastAsia="仿宋_GB2312" w:cs="Times New Roman"/>
                <w:color w:val="000000" w:themeColor="text1"/>
              </w:rPr>
              <w:t>屏幕</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3台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保证能够正常写入、展示内容，显示效果及软硬件运转正常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8</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钢琴</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哈曼尼</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8台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每年一次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保证音准正常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9</w:t>
            </w:r>
          </w:p>
        </w:tc>
        <w:tc>
          <w:tcPr>
            <w:tcW w:w="1134" w:type="dxa"/>
            <w:vMerge w:val="restart"/>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远程会诊系统（含大屏幕3台、一体机</w:t>
            </w:r>
            <w:r>
              <w:rPr>
                <w:rFonts w:ascii="仿宋_GB2312" w:hAnsi="仿宋_GB2312" w:eastAsia="仿宋_GB2312" w:cs="Times New Roman"/>
                <w:color w:val="000000" w:themeColor="text1"/>
              </w:rPr>
              <w:t>5</w:t>
            </w:r>
            <w:r>
              <w:rPr>
                <w:rFonts w:hint="eastAsia" w:ascii="仿宋_GB2312" w:hAnsi="仿宋_GB2312" w:eastAsia="仿宋_GB2312" w:cs="Times New Roman"/>
                <w:color w:val="000000" w:themeColor="text1"/>
              </w:rPr>
              <w:t>台、全向麦克风一个、音视频处理器2台）</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3</w:t>
            </w:r>
            <w:r>
              <w:rPr>
                <w:rFonts w:hint="eastAsia" w:ascii="仿宋_GB2312" w:hAnsi="仿宋_GB2312" w:eastAsia="仿宋_GB2312" w:cs="Times New Roman"/>
                <w:color w:val="000000" w:themeColor="text1"/>
              </w:rPr>
              <w:t>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restart"/>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保证硬件、网络连接、软件功能运</w:t>
            </w:r>
          </w:p>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10</w:t>
            </w:r>
          </w:p>
        </w:tc>
        <w:tc>
          <w:tcPr>
            <w:tcW w:w="1134" w:type="dxa"/>
            <w:vMerge w:val="continue"/>
            <w:vAlign w:val="center"/>
          </w:tcPr>
          <w:p>
            <w:pPr>
              <w:tabs>
                <w:tab w:val="left" w:pos="578"/>
              </w:tabs>
              <w:jc w:val="center"/>
              <w:rPr>
                <w:rFonts w:ascii="仿宋_GB2312" w:hAnsi="仿宋_GB2312" w:eastAsia="仿宋_GB2312" w:cs="Times New Roman"/>
                <w:color w:val="000000" w:themeColor="text1"/>
              </w:rPr>
            </w:pP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5台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continue"/>
            <w:vAlign w:val="center"/>
          </w:tcPr>
          <w:p>
            <w:pPr>
              <w:jc w:val="center"/>
              <w:rPr>
                <w:rFonts w:ascii="仿宋_GB2312" w:hAnsi="仿宋_GB2312" w:eastAsia="仿宋_GB2312" w:cs="Times New Roman"/>
                <w:color w:val="000000" w:themeColor="text1"/>
              </w:rPr>
            </w:pPr>
          </w:p>
        </w:tc>
        <w:tc>
          <w:tcPr>
            <w:tcW w:w="3969" w:type="dxa"/>
            <w:vAlign w:val="center"/>
          </w:tcPr>
          <w:p>
            <w:pPr>
              <w:jc w:val="center"/>
              <w:rPr>
                <w:rFonts w:ascii="仿宋_GB2312" w:hAnsi="仿宋_GB2312" w:eastAsia="仿宋_GB2312"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11</w:t>
            </w:r>
          </w:p>
        </w:tc>
        <w:tc>
          <w:tcPr>
            <w:tcW w:w="1134" w:type="dxa"/>
            <w:vMerge w:val="continue"/>
            <w:vAlign w:val="center"/>
          </w:tcPr>
          <w:p>
            <w:pPr>
              <w:tabs>
                <w:tab w:val="left" w:pos="578"/>
              </w:tabs>
              <w:jc w:val="center"/>
              <w:rPr>
                <w:rFonts w:ascii="仿宋_GB2312" w:hAnsi="仿宋_GB2312" w:eastAsia="仿宋_GB2312" w:cs="Times New Roman"/>
                <w:color w:val="000000" w:themeColor="text1"/>
              </w:rPr>
            </w:pP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1个</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21"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桌子上的手机&#10;&#10;描述已自动生成"/>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continue"/>
            <w:vAlign w:val="center"/>
          </w:tcPr>
          <w:p>
            <w:pPr>
              <w:jc w:val="center"/>
              <w:rPr>
                <w:rFonts w:ascii="仿宋_GB2312" w:hAnsi="仿宋_GB2312" w:eastAsia="仿宋_GB2312" w:cs="Times New Roman"/>
                <w:color w:val="000000" w:themeColor="text1"/>
              </w:rPr>
            </w:pPr>
          </w:p>
        </w:tc>
        <w:tc>
          <w:tcPr>
            <w:tcW w:w="3969" w:type="dxa"/>
            <w:vAlign w:val="center"/>
          </w:tcPr>
          <w:p>
            <w:pPr>
              <w:jc w:val="center"/>
              <w:rPr>
                <w:rFonts w:ascii="仿宋_GB2312" w:hAnsi="仿宋_GB2312" w:eastAsia="仿宋_GB2312"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w:t>
            </w:r>
            <w:r>
              <w:rPr>
                <w:rFonts w:ascii="仿宋_GB2312" w:hAnsi="仿宋_GB2312" w:eastAsia="仿宋_GB2312" w:cs="Times New Roman"/>
                <w:color w:val="000000" w:themeColor="text1"/>
              </w:rPr>
              <w:t>2</w:t>
            </w:r>
          </w:p>
        </w:tc>
        <w:tc>
          <w:tcPr>
            <w:tcW w:w="1134" w:type="dxa"/>
            <w:vMerge w:val="continue"/>
            <w:vAlign w:val="center"/>
          </w:tcPr>
          <w:p>
            <w:pPr>
              <w:tabs>
                <w:tab w:val="left" w:pos="578"/>
              </w:tabs>
              <w:jc w:val="center"/>
              <w:rPr>
                <w:rFonts w:ascii="仿宋_GB2312" w:hAnsi="仿宋_GB2312" w:eastAsia="仿宋_GB2312" w:cs="Times New Roman"/>
                <w:color w:val="000000" w:themeColor="text1"/>
              </w:rPr>
            </w:pP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2台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22"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桌子上放着笔记本电脑&#10;&#10;描述已自动生成"/>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continue"/>
            <w:vAlign w:val="center"/>
          </w:tcPr>
          <w:p>
            <w:pPr>
              <w:jc w:val="center"/>
              <w:rPr>
                <w:rFonts w:ascii="仿宋_GB2312" w:hAnsi="仿宋_GB2312" w:eastAsia="仿宋_GB2312" w:cs="Times New Roman"/>
                <w:color w:val="000000" w:themeColor="text1"/>
              </w:rPr>
            </w:pPr>
          </w:p>
        </w:tc>
        <w:tc>
          <w:tcPr>
            <w:tcW w:w="3969" w:type="dxa"/>
            <w:vAlign w:val="center"/>
          </w:tcPr>
          <w:p>
            <w:pPr>
              <w:jc w:val="center"/>
              <w:rPr>
                <w:rFonts w:ascii="仿宋_GB2312" w:hAnsi="仿宋_GB2312" w:eastAsia="仿宋_GB2312"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13</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掌心宝贝</w:t>
            </w:r>
          </w:p>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系统</w:t>
            </w:r>
          </w:p>
        </w:tc>
        <w:tc>
          <w:tcPr>
            <w:tcW w:w="787"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掌心宝贝</w:t>
            </w: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drawing>
                <wp:inline distT="0" distB="0" distL="0" distR="0">
                  <wp:extent cx="1033145" cy="774700"/>
                  <wp:effectExtent l="0" t="0" r="14605" b="6350"/>
                  <wp:docPr id="14" name="图片 14"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电脑屏幕的照片上有字&#10;&#10;中度可信度描述已自动生成"/>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保证硬件、网络连接、软件功能运</w:t>
            </w:r>
          </w:p>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14</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中耳分析仪</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drawing>
                <wp:inline distT="0" distB="0" distL="114300" distR="114300">
                  <wp:extent cx="939165" cy="699770"/>
                  <wp:effectExtent l="0" t="0" r="13335" b="5080"/>
                  <wp:docPr id="11" name="图片 11" descr="72f345b0c5aab917f7d6ebefe7b4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2f345b0c5aab917f7d6ebefe7b4cf3"/>
                          <pic:cNvPicPr>
                            <a:picLocks noChangeAspect="1"/>
                          </pic:cNvPicPr>
                        </pic:nvPicPr>
                        <pic:blipFill>
                          <a:blip r:embed="rId18"/>
                          <a:stretch>
                            <a:fillRect/>
                          </a:stretch>
                        </pic:blipFill>
                        <pic:spPr>
                          <a:xfrm>
                            <a:off x="0" y="0"/>
                            <a:ext cx="939165" cy="69977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15</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听力计</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drawing>
                <wp:inline distT="0" distB="0" distL="114300" distR="114300">
                  <wp:extent cx="654050" cy="791210"/>
                  <wp:effectExtent l="0" t="0" r="12700" b="8890"/>
                  <wp:docPr id="12" name="图片 12" descr="d16aad8f0e7ea276c71c9a82d40e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16aad8f0e7ea276c71c9a82d40ece3"/>
                          <pic:cNvPicPr>
                            <a:picLocks noChangeAspect="1"/>
                          </pic:cNvPicPr>
                        </pic:nvPicPr>
                        <pic:blipFill>
                          <a:blip r:embed="rId19"/>
                          <a:stretch>
                            <a:fillRect/>
                          </a:stretch>
                        </pic:blipFill>
                        <pic:spPr>
                          <a:xfrm>
                            <a:off x="0" y="0"/>
                            <a:ext cx="654050" cy="79121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每月一次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16</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听力计</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drawing>
                <wp:inline distT="0" distB="0" distL="114300" distR="114300">
                  <wp:extent cx="654050" cy="791210"/>
                  <wp:effectExtent l="0" t="0" r="12700" b="8890"/>
                  <wp:docPr id="17" name="图片 17" descr="d16aad8f0e7ea276c71c9a82d40e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16aad8f0e7ea276c71c9a82d40ece3"/>
                          <pic:cNvPicPr>
                            <a:picLocks noChangeAspect="1"/>
                          </pic:cNvPicPr>
                        </pic:nvPicPr>
                        <pic:blipFill>
                          <a:blip r:embed="rId19"/>
                          <a:stretch>
                            <a:fillRect/>
                          </a:stretch>
                        </pic:blipFill>
                        <pic:spPr>
                          <a:xfrm>
                            <a:off x="0" y="0"/>
                            <a:ext cx="654050" cy="79121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每年一次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17</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听力计</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2台</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drawing>
                <wp:inline distT="0" distB="0" distL="114300" distR="114300">
                  <wp:extent cx="1024255" cy="956310"/>
                  <wp:effectExtent l="0" t="0" r="4445" b="15240"/>
                  <wp:docPr id="13"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bb0fd278597676b0c11d82e456b27"/>
                          <pic:cNvPicPr>
                            <a:picLocks noChangeAspect="1"/>
                          </pic:cNvPicPr>
                        </pic:nvPicPr>
                        <pic:blipFill>
                          <a:blip r:embed="rId20"/>
                          <a:stretch>
                            <a:fillRect/>
                          </a:stretch>
                        </pic:blipFill>
                        <pic:spPr>
                          <a:xfrm>
                            <a:off x="0" y="0"/>
                            <a:ext cx="1024255" cy="956310"/>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每年一次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18</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声级计</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drawing>
                <wp:inline distT="0" distB="0" distL="114300" distR="114300">
                  <wp:extent cx="1024255" cy="1365885"/>
                  <wp:effectExtent l="0" t="0" r="4445" b="5715"/>
                  <wp:docPr id="15" name="图片 15" descr="319f072f9f96d778dececfd6074a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19f072f9f96d778dececfd6074af43"/>
                          <pic:cNvPicPr>
                            <a:picLocks noChangeAspect="1"/>
                          </pic:cNvPicPr>
                        </pic:nvPicPr>
                        <pic:blipFill>
                          <a:blip r:embed="rId21"/>
                          <a:stretch>
                            <a:fillRect/>
                          </a:stretch>
                        </pic:blipFill>
                        <pic:spPr>
                          <a:xfrm>
                            <a:off x="0" y="0"/>
                            <a:ext cx="1024255" cy="1365885"/>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每年一次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仿宋_GB2312" w:hAnsi="仿宋_GB2312" w:eastAsia="仿宋_GB2312" w:cs="Times New Roman"/>
                <w:color w:val="000000" w:themeColor="text1"/>
              </w:rPr>
            </w:pPr>
            <w:r>
              <w:rPr>
                <w:rFonts w:ascii="仿宋_GB2312" w:hAnsi="仿宋_GB2312" w:eastAsia="仿宋_GB2312" w:cs="Times New Roman"/>
                <w:color w:val="000000" w:themeColor="text1"/>
              </w:rPr>
              <w:t>19</w:t>
            </w:r>
          </w:p>
        </w:tc>
        <w:tc>
          <w:tcPr>
            <w:tcW w:w="1134" w:type="dxa"/>
            <w:vAlign w:val="center"/>
          </w:tcPr>
          <w:p>
            <w:pPr>
              <w:tabs>
                <w:tab w:val="left" w:pos="578"/>
              </w:tabs>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声级计</w:t>
            </w:r>
          </w:p>
        </w:tc>
        <w:tc>
          <w:tcPr>
            <w:tcW w:w="787" w:type="dxa"/>
            <w:vAlign w:val="center"/>
          </w:tcPr>
          <w:p>
            <w:pPr>
              <w:jc w:val="center"/>
              <w:rPr>
                <w:rFonts w:ascii="仿宋_GB2312" w:hAnsi="仿宋_GB2312" w:eastAsia="仿宋_GB2312" w:cs="Times New Roman"/>
                <w:color w:val="000000" w:themeColor="text1"/>
              </w:rPr>
            </w:pPr>
          </w:p>
        </w:tc>
        <w:tc>
          <w:tcPr>
            <w:tcW w:w="1056"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1台</w:t>
            </w:r>
          </w:p>
        </w:tc>
        <w:tc>
          <w:tcPr>
            <w:tcW w:w="1843"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drawing>
                <wp:inline distT="0" distB="0" distL="114300" distR="114300">
                  <wp:extent cx="1024255" cy="1365885"/>
                  <wp:effectExtent l="0" t="0" r="4445" b="5715"/>
                  <wp:docPr id="16" name="图片 16" descr="eb385957b755193360a876adb7400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b385957b755193360a876adb7400a8"/>
                          <pic:cNvPicPr>
                            <a:picLocks noChangeAspect="1"/>
                          </pic:cNvPicPr>
                        </pic:nvPicPr>
                        <pic:blipFill>
                          <a:blip r:embed="rId22"/>
                          <a:stretch>
                            <a:fillRect/>
                          </a:stretch>
                        </pic:blipFill>
                        <pic:spPr>
                          <a:xfrm>
                            <a:off x="0" y="0"/>
                            <a:ext cx="1024255" cy="1365885"/>
                          </a:xfrm>
                          <a:prstGeom prst="rect">
                            <a:avLst/>
                          </a:prstGeom>
                        </pic:spPr>
                      </pic:pic>
                    </a:graphicData>
                  </a:graphic>
                </wp:inline>
              </w:drawing>
            </w:r>
          </w:p>
        </w:tc>
        <w:tc>
          <w:tcPr>
            <w:tcW w:w="155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每年一次</w:t>
            </w:r>
          </w:p>
        </w:tc>
        <w:tc>
          <w:tcPr>
            <w:tcW w:w="3969" w:type="dxa"/>
            <w:vAlign w:val="center"/>
          </w:tcPr>
          <w:p>
            <w:pPr>
              <w:jc w:val="center"/>
              <w:rPr>
                <w:rFonts w:ascii="仿宋_GB2312" w:hAnsi="仿宋_GB2312" w:eastAsia="仿宋_GB2312" w:cs="Times New Roman"/>
                <w:color w:val="000000" w:themeColor="text1"/>
              </w:rPr>
            </w:pPr>
            <w:r>
              <w:rPr>
                <w:rFonts w:hint="eastAsia" w:ascii="仿宋_GB2312" w:hAnsi="仿宋_GB2312" w:eastAsia="仿宋_GB2312" w:cs="Times New Roman"/>
                <w:color w:val="000000" w:themeColor="text1"/>
              </w:rPr>
              <w:t>按照国标要求每年送往计量院校准并出具合格校准报告</w:t>
            </w:r>
          </w:p>
        </w:tc>
      </w:tr>
    </w:tbl>
    <w:p>
      <w:pPr>
        <w:ind w:firstLine="640"/>
        <w:jc w:val="left"/>
        <w:rPr>
          <w:rFonts w:ascii="仿宋_GB2312" w:hAnsi="华文仿宋"/>
          <w:color w:val="000000" w:themeColor="text1"/>
          <w:sz w:val="32"/>
          <w:szCs w:val="32"/>
        </w:rPr>
      </w:pPr>
    </w:p>
    <w:p>
      <w:pPr>
        <w:ind w:firstLine="640"/>
        <w:rPr>
          <w:rFonts w:hint="eastAsia" w:ascii="仿宋_GB2312" w:hAnsi="宋体" w:eastAsia="仿宋_GB2312"/>
          <w:sz w:val="32"/>
          <w:szCs w:val="32"/>
        </w:rPr>
      </w:pPr>
      <w:r>
        <w:rPr>
          <w:rFonts w:hint="eastAsia" w:ascii="仿宋_GB2312" w:hAnsi="宋体" w:eastAsia="仿宋_GB2312"/>
          <w:sz w:val="32"/>
          <w:szCs w:val="32"/>
        </w:rPr>
        <w:t>1.2.中标方需按照上表所列的设备清单，逐一按维护频次进行维护。及时维修设备软硬件故障。升级设备软件。保证所有设备正常使用。对于设备临时发生的故障，应在故障发生8小时内予以响应，并及时排除故障或进行进一步维修。</w:t>
      </w:r>
    </w:p>
    <w:p>
      <w:pPr>
        <w:ind w:firstLine="640"/>
        <w:rPr>
          <w:rFonts w:hint="eastAsia" w:ascii="仿宋_GB2312" w:hAnsi="宋体" w:eastAsia="仿宋_GB2312"/>
          <w:sz w:val="32"/>
          <w:szCs w:val="32"/>
        </w:rPr>
      </w:pPr>
      <w:r>
        <w:rPr>
          <w:rFonts w:hint="eastAsia" w:ascii="仿宋_GB2312" w:hAnsi="宋体" w:eastAsia="仿宋_GB2312"/>
          <w:sz w:val="32"/>
          <w:szCs w:val="32"/>
        </w:rPr>
        <w:t>1.3.中标方需出具由中标方和采购方签字的设备维修记录表，并附每件设备的维护水印照片。如发现设备故障需要维修，中标方还需在维修完成后出具由中标方和采购方签字的设备维修结果反馈表，并附维修前后的设备水印照片。</w:t>
      </w:r>
    </w:p>
    <w:p>
      <w:pPr>
        <w:ind w:firstLine="640"/>
        <w:rPr>
          <w:rFonts w:hint="eastAsia" w:ascii="仿宋_GB2312" w:hAnsi="宋体" w:eastAsia="仿宋_GB2312"/>
          <w:sz w:val="32"/>
          <w:szCs w:val="32"/>
        </w:rPr>
      </w:pPr>
      <w:r>
        <w:rPr>
          <w:rFonts w:hint="eastAsia" w:ascii="仿宋_GB2312" w:hAnsi="宋体" w:eastAsia="仿宋_GB2312"/>
          <w:sz w:val="32"/>
          <w:szCs w:val="32"/>
        </w:rPr>
        <w:t>1.4.部分老旧设备如确实无法修复，中标方需向采购方进行书面情况说明，并加盖公章。</w:t>
      </w:r>
    </w:p>
    <w:p>
      <w:pPr>
        <w:ind w:firstLine="640"/>
        <w:rPr>
          <w:rFonts w:hint="eastAsia" w:ascii="仿宋_GB2312" w:hAnsi="宋体" w:eastAsia="仿宋_GB2312"/>
          <w:sz w:val="32"/>
          <w:szCs w:val="32"/>
        </w:rPr>
      </w:pPr>
      <w:r>
        <w:rPr>
          <w:rFonts w:hint="eastAsia" w:ascii="仿宋_GB2312" w:hAnsi="宋体" w:eastAsia="仿宋_GB2312"/>
          <w:sz w:val="32"/>
          <w:szCs w:val="32"/>
        </w:rPr>
        <w:t>1.5.中标方需与采购方协商每次入园维护维修设备的时间，获准后才能进入园区开展维护工作。</w:t>
      </w:r>
    </w:p>
    <w:p>
      <w:pPr>
        <w:ind w:firstLine="640"/>
        <w:rPr>
          <w:rFonts w:hint="eastAsia" w:ascii="仿宋_GB2312" w:hAnsi="宋体" w:eastAsia="仿宋_GB2312"/>
          <w:sz w:val="32"/>
          <w:szCs w:val="32"/>
        </w:rPr>
      </w:pPr>
      <w:r>
        <w:rPr>
          <w:rFonts w:hint="eastAsia" w:ascii="仿宋_GB2312" w:hAnsi="宋体" w:eastAsia="仿宋_GB2312"/>
          <w:sz w:val="32"/>
          <w:szCs w:val="32"/>
        </w:rPr>
        <w:t>2.其它要求：</w:t>
      </w:r>
    </w:p>
    <w:p>
      <w:pPr>
        <w:ind w:firstLine="640"/>
        <w:rPr>
          <w:rFonts w:hint="eastAsia" w:ascii="仿宋_GB2312" w:hAnsi="宋体" w:eastAsia="仿宋_GB2312"/>
          <w:sz w:val="32"/>
          <w:szCs w:val="32"/>
        </w:rPr>
      </w:pPr>
      <w:r>
        <w:rPr>
          <w:rFonts w:hint="eastAsia" w:ascii="仿宋_GB2312" w:hAnsi="宋体" w:eastAsia="仿宋_GB2312"/>
          <w:sz w:val="32"/>
          <w:szCs w:val="32"/>
        </w:rPr>
        <w:t>2.1对投标服务的要求：服务过程必须遵守《中华人民共和国技术合同法》、《中华人民共和国著作权法》和《中华人民共和国计算机软件保护条例》及《中华人民共和国经济合同法》等有关国家法律法规。</w:t>
      </w:r>
    </w:p>
    <w:p>
      <w:pPr>
        <w:ind w:firstLine="640"/>
        <w:rPr>
          <w:rFonts w:hint="eastAsia" w:ascii="仿宋_GB2312" w:hAnsi="宋体" w:eastAsia="仿宋_GB2312"/>
          <w:sz w:val="32"/>
          <w:szCs w:val="32"/>
        </w:rPr>
      </w:pPr>
      <w:r>
        <w:rPr>
          <w:rFonts w:hint="eastAsia" w:ascii="仿宋_GB2312" w:hAnsi="宋体" w:eastAsia="仿宋_GB2312"/>
          <w:sz w:val="32"/>
          <w:szCs w:val="32"/>
        </w:rPr>
        <w:t>2.2人员资质要求：中标方需安排有具体设备维护、维修资质或经验的人员进入项目服务团队。</w:t>
      </w:r>
    </w:p>
    <w:p>
      <w:pPr>
        <w:ind w:firstLine="640"/>
        <w:rPr>
          <w:rFonts w:hint="eastAsia" w:ascii="仿宋_GB2312" w:hAnsi="宋体" w:eastAsia="仿宋_GB2312"/>
          <w:sz w:val="32"/>
          <w:szCs w:val="32"/>
        </w:rPr>
      </w:pPr>
      <w:r>
        <w:rPr>
          <w:rFonts w:hint="eastAsia" w:ascii="仿宋_GB2312" w:hAnsi="宋体" w:eastAsia="仿宋_GB2312"/>
          <w:sz w:val="32"/>
          <w:szCs w:val="32"/>
        </w:rPr>
        <w:t>2.3服务期: 自签订服务合同之日起至2023年12月31日。</w:t>
      </w:r>
    </w:p>
    <w:p>
      <w:pPr>
        <w:ind w:firstLine="640"/>
        <w:rPr>
          <w:rFonts w:hint="eastAsia" w:ascii="仿宋_GB2312" w:hAnsi="宋体" w:eastAsia="仿宋_GB2312"/>
          <w:sz w:val="32"/>
          <w:szCs w:val="32"/>
        </w:rPr>
      </w:pPr>
      <w:r>
        <w:rPr>
          <w:rFonts w:hint="eastAsia" w:ascii="仿宋_GB2312" w:hAnsi="宋体" w:eastAsia="仿宋_GB2312"/>
          <w:sz w:val="32"/>
          <w:szCs w:val="32"/>
        </w:rPr>
        <w:t>2.4服务地点：融合教育部园区。</w:t>
      </w:r>
    </w:p>
    <w:p>
      <w:pPr>
        <w:ind w:firstLine="640"/>
        <w:rPr>
          <w:rFonts w:hint="eastAsia" w:ascii="仿宋_GB2312" w:hAnsi="宋体" w:eastAsia="仿宋_GB2312"/>
          <w:sz w:val="32"/>
          <w:szCs w:val="32"/>
        </w:rPr>
      </w:pPr>
      <w:r>
        <w:rPr>
          <w:rFonts w:hint="eastAsia" w:ascii="仿宋_GB2312" w:hAnsi="宋体" w:eastAsia="仿宋_GB2312"/>
          <w:sz w:val="32"/>
          <w:szCs w:val="32"/>
        </w:rPr>
        <w:t>2.5结算方式: 经费结算分两期进行，第一期经费占总体经费的70%，于服务合同签订后由采购方向中标方支付。剩余30%尾款于服务项目验收通过后由采购方向中标方支付。</w:t>
      </w:r>
    </w:p>
    <w:p>
      <w:pPr>
        <w:adjustRightInd w:val="0"/>
        <w:snapToGrid w:val="0"/>
        <w:ind w:firstLine="640"/>
        <w:rPr>
          <w:rFonts w:ascii="黑体" w:hAnsi="黑体" w:eastAsia="黑体" w:cstheme="majorEastAsia"/>
          <w:color w:val="000000" w:themeColor="text1"/>
          <w:sz w:val="32"/>
          <w:szCs w:val="32"/>
        </w:rPr>
      </w:pPr>
      <w:r>
        <w:rPr>
          <w:rFonts w:hint="eastAsia" w:ascii="黑体" w:hAnsi="黑体" w:eastAsia="黑体"/>
          <w:color w:val="000000" w:themeColor="text1"/>
          <w:sz w:val="32"/>
          <w:szCs w:val="32"/>
          <w:lang w:val="en-US" w:eastAsia="zh-CN"/>
        </w:rPr>
        <w:t>三</w:t>
      </w:r>
      <w:r>
        <w:rPr>
          <w:rFonts w:hint="eastAsia" w:ascii="黑体" w:hAnsi="黑体" w:eastAsia="黑体"/>
          <w:color w:val="000000" w:themeColor="text1"/>
          <w:sz w:val="32"/>
          <w:szCs w:val="32"/>
        </w:rPr>
        <w:t>、</w:t>
      </w:r>
      <w:r>
        <w:rPr>
          <w:rFonts w:hint="eastAsia" w:ascii="黑体" w:hAnsi="黑体" w:eastAsia="黑体" w:cstheme="majorEastAsia"/>
          <w:color w:val="000000" w:themeColor="text1"/>
          <w:sz w:val="32"/>
          <w:szCs w:val="32"/>
        </w:rPr>
        <w:t>投标报价</w:t>
      </w:r>
    </w:p>
    <w:p>
      <w:pPr>
        <w:ind w:firstLine="640"/>
        <w:rPr>
          <w:rFonts w:hint="eastAsia" w:ascii="仿宋_GB2312" w:hAnsi="宋体" w:eastAsia="仿宋_GB2312"/>
          <w:sz w:val="32"/>
          <w:szCs w:val="32"/>
        </w:rPr>
      </w:pPr>
      <w:r>
        <w:rPr>
          <w:rFonts w:hint="eastAsia" w:ascii="仿宋_GB2312" w:hAnsi="宋体" w:eastAsia="仿宋_GB2312"/>
          <w:sz w:val="32"/>
          <w:szCs w:val="32"/>
        </w:rPr>
        <w:t>1.本项目中预算控制金额为人民币6万元，投标人的投标总价超过预算控制金额为无效投标；</w:t>
      </w:r>
    </w:p>
    <w:p>
      <w:pPr>
        <w:ind w:firstLine="640"/>
        <w:rPr>
          <w:rFonts w:hint="eastAsia" w:ascii="仿宋_GB2312" w:hAnsi="宋体" w:eastAsia="仿宋_GB2312"/>
          <w:sz w:val="32"/>
          <w:szCs w:val="32"/>
        </w:rPr>
      </w:pPr>
      <w:r>
        <w:rPr>
          <w:rFonts w:hint="eastAsia" w:ascii="仿宋_GB2312" w:hAnsi="宋体"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hint="eastAsia" w:ascii="仿宋_GB2312" w:hAnsi="宋体" w:eastAsia="仿宋_GB2312"/>
          <w:sz w:val="32"/>
          <w:szCs w:val="32"/>
        </w:rPr>
      </w:pPr>
      <w:r>
        <w:rPr>
          <w:rFonts w:hint="eastAsia" w:ascii="仿宋_GB2312" w:hAnsi="宋体" w:eastAsia="仿宋_GB2312"/>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1"/>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rPr>
      </w:pPr>
      <w:r>
        <w:rPr>
          <w:rFonts w:hint="eastAsia" w:ascii="方正小标宋简体" w:hAnsi="方正小标宋简体" w:eastAsia="方正小标宋简体" w:cs="方正小标宋简体"/>
          <w:color w:val="000000" w:themeColor="text1"/>
          <w:sz w:val="32"/>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rPr>
      </w:pPr>
    </w:p>
    <w:p>
      <w:pPr>
        <w:spacing w:line="579"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rPr>
        <w:t>：</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（一）对于</w:t>
      </w:r>
      <w:r>
        <w:rPr>
          <w:rFonts w:hint="eastAsia" w:ascii="仿宋_GB2312" w:eastAsia="仿宋_GB2312"/>
          <w:color w:val="000000" w:themeColor="text1"/>
          <w:sz w:val="32"/>
          <w:szCs w:val="32"/>
        </w:rPr>
        <w:t>从</w:t>
      </w:r>
      <w:r>
        <w:rPr>
          <w:rFonts w:hint="eastAsia" w:ascii="仿宋_GB2312" w:hAnsi="仿宋_GB2312" w:eastAsia="仿宋_GB2312" w:cs="仿宋_GB2312"/>
          <w:color w:val="000000" w:themeColor="text1"/>
          <w:sz w:val="32"/>
          <w:szCs w:val="32"/>
        </w:rPr>
        <w:t>其他主体</w:t>
      </w:r>
      <w:r>
        <w:rPr>
          <w:rFonts w:hint="eastAsia" w:ascii="仿宋_GB2312" w:eastAsia="仿宋_GB2312"/>
          <w:color w:val="000000" w:themeColor="text1"/>
          <w:sz w:val="32"/>
          <w:szCs w:val="32"/>
        </w:rPr>
        <w:t>获取</w:t>
      </w:r>
      <w:r>
        <w:rPr>
          <w:rFonts w:hint="eastAsia" w:ascii="仿宋_GB2312" w:hAnsi="仿宋_GB2312" w:eastAsia="仿宋_GB2312" w:cs="仿宋_GB2312"/>
          <w:color w:val="000000" w:themeColor="text1"/>
          <w:sz w:val="32"/>
          <w:szCs w:val="32"/>
        </w:rPr>
        <w:t>的投标资料，供应商应审慎核查，确保投标资料的真实性。</w:t>
      </w:r>
      <w:r>
        <w:rPr>
          <w:rFonts w:hint="eastAsia" w:ascii="仿宋_GB2312" w:hAnsi="仿宋_GB2312" w:eastAsia="仿宋_GB2312" w:cs="仿宋_GB2312"/>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（四）供应商应严格规范项目授权代表、员工参与招标投标的行为，加强对投标文件的审核。项目授权代表、员工</w:t>
      </w:r>
      <w:r>
        <w:rPr>
          <w:rFonts w:hint="eastAsia" w:ascii="仿宋_GB2312" w:eastAsia="仿宋_GB2312"/>
          <w:color w:val="000000" w:themeColor="text1"/>
          <w:sz w:val="32"/>
          <w:szCs w:val="32"/>
        </w:rPr>
        <w:t>编制、上传</w:t>
      </w:r>
      <w:r>
        <w:rPr>
          <w:rFonts w:hint="eastAsia" w:ascii="仿宋_GB2312" w:hAnsi="仿宋_GB2312" w:eastAsia="仿宋_GB2312" w:cs="仿宋_GB2312"/>
          <w:color w:val="000000" w:themeColor="text1"/>
          <w:sz w:val="32"/>
          <w:szCs w:val="32"/>
        </w:rPr>
        <w:t>投标文件</w:t>
      </w:r>
      <w:r>
        <w:rPr>
          <w:rFonts w:hint="eastAsia" w:ascii="仿宋_GB2312" w:eastAsia="仿宋_GB2312"/>
          <w:color w:val="000000" w:themeColor="text1"/>
          <w:sz w:val="32"/>
          <w:szCs w:val="32"/>
        </w:rPr>
        <w:t>等行为</w:t>
      </w:r>
      <w:r>
        <w:rPr>
          <w:rFonts w:hint="eastAsia" w:ascii="仿宋_GB2312" w:hAnsi="仿宋_GB2312" w:eastAsia="仿宋_GB2312" w:cs="仿宋_GB2312"/>
          <w:color w:val="000000" w:themeColor="text1"/>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rPr>
        <w:t>如</w:t>
      </w:r>
      <w:r>
        <w:rPr>
          <w:rFonts w:hint="eastAsia" w:ascii="仿宋_GB2312" w:hAnsi="仿宋_GB2312" w:eastAsia="仿宋_GB2312" w:cs="仿宋_GB2312"/>
          <w:color w:val="000000" w:themeColor="text1"/>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四、本公司已充分知悉政府采购违法、违规行为的法律后果。</w:t>
      </w:r>
      <w:r>
        <w:rPr>
          <w:rFonts w:hint="eastAsia" w:ascii="仿宋_GB2312" w:hAnsi="仿宋_GB2312" w:eastAsia="仿宋_GB2312" w:cs="仿宋_GB2312"/>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32"/>
          <w:szCs w:val="32"/>
        </w:rPr>
      </w:pPr>
    </w:p>
    <w:p>
      <w:pPr>
        <w:spacing w:line="579"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知悉人（公章）：</w:t>
      </w:r>
    </w:p>
    <w:p>
      <w:pPr>
        <w:spacing w:line="579" w:lineRule="exact"/>
        <w:rPr>
          <w:color w:val="000000" w:themeColor="text1"/>
          <w:sz w:val="32"/>
          <w:szCs w:val="32"/>
        </w:rPr>
      </w:pPr>
      <w:r>
        <w:rPr>
          <w:rFonts w:hint="eastAsia" w:ascii="仿宋_GB2312" w:hAnsi="仿宋_GB2312" w:eastAsia="仿宋_GB2312" w:cs="仿宋_GB2312"/>
          <w:color w:val="000000" w:themeColor="text1"/>
          <w:sz w:val="32"/>
          <w:szCs w:val="32"/>
        </w:rPr>
        <w:t xml:space="preserve">                    日期：</w:t>
      </w:r>
    </w:p>
    <w:p>
      <w:pPr>
        <w:widowControl/>
        <w:jc w:val="left"/>
        <w:rPr>
          <w:rFonts w:ascii="仿宋_GB2312" w:hAnsi="宋体" w:eastAsia="仿宋_GB2312" w:cs="宋体"/>
          <w:color w:val="000000" w:themeColor="text1"/>
          <w:kern w:val="0"/>
          <w:sz w:val="32"/>
          <w:szCs w:val="32"/>
        </w:rPr>
      </w:pPr>
      <w:r>
        <w:rPr>
          <w:rFonts w:ascii="仿宋_GB2312" w:eastAsia="仿宋_GB2312"/>
          <w:b/>
          <w:bCs/>
          <w:color w:val="000000" w:themeColor="text1"/>
          <w:sz w:val="32"/>
          <w:szCs w:val="32"/>
        </w:rPr>
        <w:br w:type="page"/>
      </w:r>
    </w:p>
    <w:p>
      <w:pPr>
        <w:jc w:val="center"/>
        <w:outlineLvl w:val="4"/>
        <w:rPr>
          <w:rFonts w:ascii="方正小标宋简体" w:hAnsi="方正小标宋简体" w:eastAsia="方正小标宋简体" w:cs="方正小标宋简体"/>
          <w:sz w:val="32"/>
        </w:rPr>
      </w:pPr>
      <w:bookmarkStart w:id="1" w:name="_Toc275865607"/>
      <w:bookmarkStart w:id="2" w:name="_Toc50737329"/>
      <w:bookmarkStart w:id="3" w:name="_Toc50737297"/>
      <w:bookmarkStart w:id="4" w:name="_Toc480754205"/>
      <w:bookmarkStart w:id="5" w:name="_Toc50736477"/>
      <w:bookmarkStart w:id="6" w:name="_Toc52165081"/>
      <w:bookmarkStart w:id="7" w:name="_Toc52165080"/>
      <w:bookmarkStart w:id="8" w:name="_Toc50736476"/>
      <w:bookmarkStart w:id="9" w:name="_Toc50737328"/>
      <w:bookmarkStart w:id="10" w:name="_Toc50691034"/>
      <w:bookmarkStart w:id="11" w:name="_Toc5073729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89478"/>
      <w:bookmarkStart w:id="13" w:name="_Toc275865616"/>
      <w:bookmarkStart w:id="14" w:name="_Toc173553182"/>
      <w:bookmarkStart w:id="15" w:name="_Toc480756074"/>
      <w:bookmarkStart w:id="16" w:name="_Toc480755928"/>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pStyle w:val="2"/>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pStyle w:val="2"/>
        <w:rPr>
          <w:rFonts w:asciiTheme="minorEastAsia" w:hAnsiTheme="minorEastAsia"/>
        </w:rPr>
      </w:pPr>
    </w:p>
    <w:p>
      <w:pPr>
        <w:pStyle w:val="2"/>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703730"/>
      <w:bookmarkStart w:id="19" w:name="_Toc43264518"/>
      <w:bookmarkStart w:id="20"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5932"/>
      <w:bookmarkStart w:id="22" w:name="_Toc480756078"/>
      <w:bookmarkStart w:id="23" w:name="_Toc480789482"/>
      <w:bookmarkStart w:id="24" w:name="_Toc480754211"/>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深圳市残疾人综合服务中心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自行采购项目定标评分原则(服务类)</w:t>
      </w:r>
    </w:p>
    <w:tbl>
      <w:tblPr>
        <w:tblStyle w:val="4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highlight w:val="none"/>
              </w:rPr>
            </w:pPr>
            <w:r>
              <w:rPr>
                <w:rFonts w:hint="eastAsia" w:ascii="仿宋_GB2312" w:eastAsia="宋体" w:cs="Times New Roman" w:hAnsiTheme="minorEastAsia"/>
                <w:b/>
                <w:kern w:val="0"/>
                <w:sz w:val="24"/>
                <w:szCs w:val="24"/>
                <w:highlight w:val="none"/>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方案可行性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30</w:t>
            </w:r>
          </w:p>
        </w:tc>
        <w:tc>
          <w:tcPr>
            <w:tcW w:w="6662" w:type="dxa"/>
            <w:tcBorders>
              <w:top w:val="single" w:color="auto" w:sz="4" w:space="0"/>
              <w:right w:val="single" w:color="auto" w:sz="4" w:space="0"/>
            </w:tcBorders>
            <w:vAlign w:val="center"/>
          </w:tcPr>
          <w:p>
            <w:pPr>
              <w:pStyle w:val="289"/>
              <w:numPr>
                <w:ilvl w:val="0"/>
                <w:numId w:val="21"/>
              </w:numPr>
              <w:ind w:firstLineChars="0"/>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方案完整性：方案</w:t>
            </w:r>
            <w:r>
              <w:rPr>
                <w:rFonts w:ascii="仿宋_GB2312" w:eastAsia="宋体" w:cs="Times New Roman" w:hAnsiTheme="minorEastAsia"/>
                <w:kern w:val="0"/>
                <w:sz w:val="22"/>
              </w:rPr>
              <w:t>需</w:t>
            </w:r>
            <w:r>
              <w:rPr>
                <w:rFonts w:hint="eastAsia" w:ascii="仿宋_GB2312" w:eastAsia="宋体" w:cs="Times New Roman" w:hAnsiTheme="minorEastAsia"/>
                <w:kern w:val="0"/>
                <w:sz w:val="22"/>
              </w:rPr>
              <w:t>包含设备</w:t>
            </w:r>
            <w:r>
              <w:rPr>
                <w:rFonts w:ascii="仿宋_GB2312" w:eastAsia="宋体" w:cs="Times New Roman" w:hAnsiTheme="minorEastAsia"/>
                <w:kern w:val="0"/>
                <w:sz w:val="22"/>
              </w:rPr>
              <w:t>维护的响应方式、</w:t>
            </w:r>
            <w:r>
              <w:rPr>
                <w:rFonts w:hint="eastAsia" w:ascii="仿宋_GB2312" w:eastAsia="宋体" w:cs="Times New Roman" w:hAnsiTheme="minorEastAsia"/>
                <w:kern w:val="0"/>
                <w:sz w:val="22"/>
              </w:rPr>
              <w:t>维护</w:t>
            </w:r>
            <w:r>
              <w:rPr>
                <w:rFonts w:ascii="仿宋_GB2312" w:eastAsia="宋体" w:cs="Times New Roman" w:hAnsiTheme="minorEastAsia"/>
                <w:kern w:val="0"/>
                <w:sz w:val="22"/>
              </w:rPr>
              <w:t>流程、</w:t>
            </w:r>
            <w:r>
              <w:rPr>
                <w:rFonts w:hint="eastAsia" w:ascii="仿宋_GB2312" w:eastAsia="宋体" w:cs="Times New Roman" w:hAnsiTheme="minorEastAsia"/>
                <w:kern w:val="0"/>
                <w:sz w:val="22"/>
              </w:rPr>
              <w:t>排障措施</w:t>
            </w:r>
            <w:r>
              <w:rPr>
                <w:rFonts w:ascii="仿宋_GB2312" w:eastAsia="宋体" w:cs="Times New Roman" w:hAnsiTheme="minorEastAsia"/>
                <w:kern w:val="0"/>
                <w:sz w:val="22"/>
              </w:rPr>
              <w:t>、</w:t>
            </w:r>
            <w:r>
              <w:rPr>
                <w:rFonts w:hint="eastAsia" w:ascii="仿宋_GB2312" w:eastAsia="宋体" w:cs="Times New Roman" w:hAnsiTheme="minorEastAsia"/>
                <w:kern w:val="0"/>
                <w:sz w:val="22"/>
              </w:rPr>
              <w:t>维护</w:t>
            </w:r>
            <w:r>
              <w:rPr>
                <w:rFonts w:ascii="仿宋_GB2312" w:eastAsia="宋体" w:cs="Times New Roman" w:hAnsiTheme="minorEastAsia"/>
                <w:kern w:val="0"/>
                <w:sz w:val="22"/>
              </w:rPr>
              <w:t>维修记录</w:t>
            </w:r>
            <w:r>
              <w:rPr>
                <w:rFonts w:hint="eastAsia" w:ascii="仿宋_GB2312" w:eastAsia="宋体" w:cs="Times New Roman" w:hAnsiTheme="minorEastAsia"/>
                <w:kern w:val="0"/>
                <w:sz w:val="22"/>
              </w:rPr>
              <w:t>方式</w:t>
            </w:r>
            <w:r>
              <w:rPr>
                <w:rFonts w:ascii="仿宋_GB2312" w:eastAsia="宋体" w:cs="Times New Roman" w:hAnsiTheme="minorEastAsia"/>
                <w:kern w:val="0"/>
                <w:sz w:val="22"/>
              </w:rPr>
              <w:t>、设备交付确认</w:t>
            </w:r>
            <w:r>
              <w:rPr>
                <w:rFonts w:hint="eastAsia" w:ascii="仿宋_GB2312" w:eastAsia="宋体" w:cs="Times New Roman" w:hAnsiTheme="minorEastAsia"/>
                <w:kern w:val="0"/>
                <w:sz w:val="22"/>
              </w:rPr>
              <w:t>方式5个</w:t>
            </w:r>
            <w:r>
              <w:rPr>
                <w:rFonts w:ascii="仿宋_GB2312" w:eastAsia="宋体" w:cs="Times New Roman" w:hAnsiTheme="minorEastAsia"/>
                <w:kern w:val="0"/>
                <w:sz w:val="22"/>
              </w:rPr>
              <w:t>部分，缺</w:t>
            </w:r>
            <w:r>
              <w:rPr>
                <w:rFonts w:hint="eastAsia" w:ascii="仿宋_GB2312" w:eastAsia="宋体" w:cs="Times New Roman" w:hAnsiTheme="minorEastAsia"/>
                <w:kern w:val="0"/>
                <w:sz w:val="22"/>
              </w:rPr>
              <w:t>1部分</w:t>
            </w:r>
            <w:r>
              <w:rPr>
                <w:rFonts w:ascii="仿宋_GB2312" w:eastAsia="宋体" w:cs="Times New Roman" w:hAnsiTheme="minorEastAsia"/>
                <w:kern w:val="0"/>
                <w:sz w:val="22"/>
              </w:rPr>
              <w:t>扣3</w:t>
            </w:r>
            <w:r>
              <w:rPr>
                <w:rFonts w:hint="eastAsia" w:ascii="仿宋_GB2312" w:eastAsia="宋体" w:cs="Times New Roman" w:hAnsiTheme="minorEastAsia"/>
                <w:kern w:val="0"/>
                <w:sz w:val="22"/>
              </w:rPr>
              <w:t>分。</w:t>
            </w:r>
            <w:r>
              <w:rPr>
                <w:rFonts w:ascii="仿宋_GB2312" w:eastAsia="宋体" w:cs="Times New Roman" w:hAnsiTheme="minorEastAsia"/>
                <w:kern w:val="0"/>
                <w:sz w:val="22"/>
              </w:rPr>
              <w:t>满分</w:t>
            </w:r>
            <w:r>
              <w:rPr>
                <w:rFonts w:hint="eastAsia" w:ascii="仿宋_GB2312" w:eastAsia="宋体" w:cs="Times New Roman" w:hAnsiTheme="minorEastAsia"/>
                <w:kern w:val="0"/>
                <w:sz w:val="22"/>
              </w:rPr>
              <w:t>1</w:t>
            </w:r>
            <w:r>
              <w:rPr>
                <w:rFonts w:ascii="仿宋_GB2312" w:eastAsia="宋体" w:cs="Times New Roman" w:hAnsiTheme="minorEastAsia"/>
                <w:kern w:val="0"/>
                <w:sz w:val="22"/>
              </w:rPr>
              <w:t>5</w:t>
            </w:r>
            <w:r>
              <w:rPr>
                <w:rFonts w:hint="eastAsia" w:ascii="仿宋_GB2312" w:eastAsia="宋体" w:cs="Times New Roman" w:hAnsiTheme="minorEastAsia"/>
                <w:kern w:val="0"/>
                <w:sz w:val="22"/>
              </w:rPr>
              <w:t>分。</w:t>
            </w:r>
          </w:p>
          <w:p>
            <w:pPr>
              <w:pStyle w:val="289"/>
              <w:numPr>
                <w:ilvl w:val="0"/>
                <w:numId w:val="21"/>
              </w:numPr>
              <w:ind w:firstLineChars="0"/>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方案</w:t>
            </w:r>
            <w:r>
              <w:rPr>
                <w:rFonts w:ascii="仿宋_GB2312" w:eastAsia="宋体" w:cs="Times New Roman" w:hAnsiTheme="minorEastAsia"/>
                <w:kern w:val="0"/>
                <w:sz w:val="22"/>
              </w:rPr>
              <w:t>质量：方案需科学合理</w:t>
            </w:r>
            <w:r>
              <w:rPr>
                <w:rFonts w:hint="eastAsia" w:ascii="仿宋_GB2312" w:eastAsia="宋体" w:cs="Times New Roman" w:hAnsiTheme="minorEastAsia"/>
                <w:kern w:val="0"/>
                <w:sz w:val="22"/>
              </w:rPr>
              <w:t>，维护</w:t>
            </w:r>
            <w:r>
              <w:rPr>
                <w:rFonts w:ascii="仿宋_GB2312" w:eastAsia="宋体" w:cs="Times New Roman" w:hAnsiTheme="minorEastAsia"/>
                <w:kern w:val="0"/>
                <w:sz w:val="22"/>
              </w:rPr>
              <w:t>维修流程、措施</w:t>
            </w:r>
            <w:r>
              <w:rPr>
                <w:rFonts w:hint="eastAsia" w:ascii="仿宋_GB2312" w:eastAsia="宋体" w:cs="Times New Roman" w:hAnsiTheme="minorEastAsia"/>
                <w:kern w:val="0"/>
                <w:sz w:val="22"/>
              </w:rPr>
              <w:t>、</w:t>
            </w:r>
            <w:r>
              <w:rPr>
                <w:rFonts w:ascii="仿宋_GB2312" w:eastAsia="宋体" w:cs="Times New Roman" w:hAnsiTheme="minorEastAsia"/>
                <w:kern w:val="0"/>
                <w:sz w:val="22"/>
              </w:rPr>
              <w:t>记录</w:t>
            </w:r>
            <w:r>
              <w:rPr>
                <w:rFonts w:hint="eastAsia" w:ascii="仿宋_GB2312" w:eastAsia="宋体" w:cs="Times New Roman" w:hAnsiTheme="minorEastAsia"/>
                <w:kern w:val="0"/>
                <w:sz w:val="22"/>
              </w:rPr>
              <w:t>方式非常科学</w:t>
            </w:r>
            <w:r>
              <w:rPr>
                <w:rFonts w:ascii="仿宋_GB2312" w:eastAsia="宋体" w:cs="Times New Roman" w:hAnsiTheme="minorEastAsia"/>
                <w:kern w:val="0"/>
                <w:sz w:val="22"/>
              </w:rPr>
              <w:t>完善得</w:t>
            </w:r>
            <w:r>
              <w:rPr>
                <w:rFonts w:hint="eastAsia" w:ascii="仿宋_GB2312" w:eastAsia="宋体" w:cs="Times New Roman" w:hAnsiTheme="minorEastAsia"/>
                <w:kern w:val="0"/>
                <w:sz w:val="22"/>
              </w:rPr>
              <w:t>得</w:t>
            </w:r>
            <w:r>
              <w:rPr>
                <w:rFonts w:ascii="仿宋_GB2312" w:eastAsia="宋体" w:cs="Times New Roman" w:hAnsiTheme="minorEastAsia"/>
                <w:kern w:val="0"/>
                <w:sz w:val="22"/>
              </w:rPr>
              <w:t>15</w:t>
            </w:r>
            <w:r>
              <w:rPr>
                <w:rFonts w:hint="eastAsia" w:ascii="仿宋_GB2312" w:eastAsia="宋体" w:cs="Times New Roman" w:hAnsiTheme="minorEastAsia"/>
                <w:kern w:val="0"/>
                <w:sz w:val="22"/>
              </w:rPr>
              <w:t>分</w:t>
            </w:r>
            <w:r>
              <w:rPr>
                <w:rFonts w:ascii="仿宋_GB2312" w:eastAsia="宋体" w:cs="Times New Roman" w:hAnsiTheme="minorEastAsia"/>
                <w:kern w:val="0"/>
                <w:sz w:val="22"/>
              </w:rPr>
              <w:t>，完善</w:t>
            </w:r>
            <w:r>
              <w:rPr>
                <w:rFonts w:hint="eastAsia" w:ascii="仿宋_GB2312" w:eastAsia="宋体" w:cs="Times New Roman" w:hAnsiTheme="minorEastAsia"/>
                <w:kern w:val="0"/>
                <w:sz w:val="22"/>
              </w:rPr>
              <w:t>合理得10分</w:t>
            </w:r>
            <w:r>
              <w:rPr>
                <w:rFonts w:ascii="仿宋_GB2312" w:eastAsia="宋体" w:cs="Times New Roman" w:hAnsiTheme="minorEastAsia"/>
                <w:kern w:val="0"/>
                <w:sz w:val="22"/>
              </w:rPr>
              <w:t>，</w:t>
            </w:r>
            <w:r>
              <w:rPr>
                <w:rFonts w:hint="eastAsia" w:ascii="仿宋_GB2312" w:eastAsia="宋体" w:cs="Times New Roman" w:hAnsiTheme="minorEastAsia"/>
                <w:kern w:val="0"/>
                <w:sz w:val="22"/>
              </w:rPr>
              <w:t>比较</w:t>
            </w:r>
            <w:r>
              <w:rPr>
                <w:rFonts w:ascii="仿宋_GB2312" w:eastAsia="宋体" w:cs="Times New Roman" w:hAnsiTheme="minorEastAsia"/>
                <w:kern w:val="0"/>
                <w:sz w:val="22"/>
              </w:rPr>
              <w:t>完善</w:t>
            </w:r>
            <w:r>
              <w:rPr>
                <w:rFonts w:hint="eastAsia" w:ascii="仿宋_GB2312" w:eastAsia="宋体" w:cs="Times New Roman" w:hAnsiTheme="minorEastAsia"/>
                <w:kern w:val="0"/>
                <w:sz w:val="22"/>
              </w:rPr>
              <w:t>得5分</w:t>
            </w:r>
            <w:r>
              <w:rPr>
                <w:rFonts w:ascii="仿宋_GB2312" w:eastAsia="宋体" w:cs="Times New Roman" w:hAnsiTheme="minorEastAsia"/>
                <w:kern w:val="0"/>
                <w:sz w:val="22"/>
              </w:rPr>
              <w:t>，</w:t>
            </w:r>
            <w:r>
              <w:rPr>
                <w:rFonts w:hint="eastAsia" w:ascii="仿宋_GB2312" w:eastAsia="宋体" w:cs="Times New Roman" w:hAnsiTheme="minorEastAsia"/>
                <w:kern w:val="0"/>
                <w:sz w:val="22"/>
              </w:rPr>
              <w:t>不完善得0分</w:t>
            </w:r>
            <w:r>
              <w:rPr>
                <w:rFonts w:ascii="仿宋_GB2312" w:eastAsia="宋体" w:cs="Times New Roman" w:hAnsiTheme="minorEastAsia"/>
                <w:kern w:val="0"/>
                <w:sz w:val="22"/>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技术先进性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rPr>
            </w:pPr>
            <w:r>
              <w:rPr>
                <w:rFonts w:ascii="仿宋_GB2312" w:eastAsia="宋体" w:cs="Times New Roman" w:hAnsiTheme="minorEastAsia"/>
                <w:kern w:val="0"/>
                <w:sz w:val="24"/>
                <w:szCs w:val="24"/>
              </w:rPr>
              <w:t>40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1.与</w:t>
            </w:r>
            <w:r>
              <w:rPr>
                <w:rFonts w:ascii="仿宋_GB2312" w:eastAsia="宋体" w:cs="Times New Roman" w:hAnsiTheme="minorEastAsia"/>
                <w:kern w:val="0"/>
                <w:sz w:val="22"/>
              </w:rPr>
              <w:t>本项目相关</w:t>
            </w:r>
            <w:r>
              <w:rPr>
                <w:rFonts w:hint="eastAsia" w:ascii="仿宋_GB2312" w:eastAsia="宋体" w:cs="Times New Roman" w:hAnsiTheme="minorEastAsia"/>
                <w:kern w:val="0"/>
                <w:sz w:val="22"/>
              </w:rPr>
              <w:t>经营范围许可或行业认证相关许可证（或备案凭证）占2分；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w:t>
            </w:r>
            <w:r>
              <w:rPr>
                <w:rFonts w:ascii="仿宋_GB2312" w:eastAsia="宋体" w:cs="Times New Roman" w:hAnsiTheme="minorEastAsia"/>
                <w:kern w:val="0"/>
                <w:sz w:val="22"/>
              </w:rPr>
              <w:t>.投标人近三年同类项目业绩情况占</w:t>
            </w:r>
            <w:r>
              <w:rPr>
                <w:rFonts w:hint="eastAsia" w:ascii="仿宋_GB2312" w:eastAsia="宋体" w:cs="Times New Roman" w:hAnsiTheme="minorEastAsia"/>
                <w:kern w:val="0"/>
                <w:sz w:val="22"/>
              </w:rPr>
              <w:t>1</w:t>
            </w:r>
            <w:r>
              <w:rPr>
                <w:rFonts w:ascii="仿宋_GB2312" w:eastAsia="宋体" w:cs="Times New Roman" w:hAnsiTheme="minorEastAsia"/>
                <w:kern w:val="0"/>
                <w:sz w:val="22"/>
              </w:rPr>
              <w:t>0分，每提供一份合同得</w:t>
            </w:r>
            <w:r>
              <w:rPr>
                <w:rFonts w:hint="eastAsia" w:ascii="仿宋_GB2312" w:eastAsia="宋体" w:cs="Times New Roman" w:hAnsiTheme="minorEastAsia"/>
                <w:kern w:val="0"/>
                <w:sz w:val="22"/>
              </w:rPr>
              <w:t>2.5分，最高1</w:t>
            </w:r>
            <w:r>
              <w:rPr>
                <w:rFonts w:ascii="仿宋_GB2312" w:eastAsia="宋体" w:cs="Times New Roman" w:hAnsiTheme="minorEastAsia"/>
                <w:kern w:val="0"/>
                <w:sz w:val="22"/>
              </w:rPr>
              <w:t>0分；同一项目的续签合同按一项业绩计算；</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3</w:t>
            </w:r>
            <w:r>
              <w:rPr>
                <w:rFonts w:ascii="仿宋_GB2312" w:eastAsia="宋体" w:cs="Times New Roman" w:hAnsiTheme="minorEastAsia"/>
                <w:kern w:val="0"/>
                <w:sz w:val="22"/>
              </w:rPr>
              <w:t>.</w:t>
            </w:r>
            <w:r>
              <w:rPr>
                <w:rFonts w:hint="eastAsia" w:ascii="仿宋_GB2312" w:eastAsia="宋体" w:cs="Times New Roman" w:hAnsiTheme="minorEastAsia"/>
                <w:kern w:val="0"/>
                <w:sz w:val="22"/>
              </w:rPr>
              <w:t>项目负责人占</w:t>
            </w:r>
            <w:r>
              <w:rPr>
                <w:rFonts w:ascii="仿宋_GB2312" w:eastAsia="宋体" w:cs="Times New Roman" w:hAnsiTheme="minorEastAsia"/>
                <w:kern w:val="0"/>
                <w:sz w:val="22"/>
              </w:rPr>
              <w:t>10</w:t>
            </w:r>
            <w:r>
              <w:rPr>
                <w:rFonts w:hint="eastAsia" w:ascii="仿宋_GB2312" w:eastAsia="宋体" w:cs="Times New Roman" w:hAnsiTheme="minorEastAsia"/>
                <w:kern w:val="0"/>
                <w:sz w:val="22"/>
              </w:rPr>
              <w:t>分,横向比较，专业、学历、职称、工作经验最高者满分，其余递减扣分；</w:t>
            </w:r>
          </w:p>
          <w:p>
            <w:pPr>
              <w:jc w:val="left"/>
              <w:rPr>
                <w:rFonts w:ascii="仿宋_GB2312" w:eastAsia="宋体" w:cs="Times New Roman" w:hAnsiTheme="minorEastAsia"/>
                <w:kern w:val="0"/>
                <w:sz w:val="22"/>
              </w:rPr>
            </w:pPr>
            <w:r>
              <w:rPr>
                <w:rFonts w:ascii="仿宋_GB2312" w:eastAsia="宋体" w:cs="Times New Roman" w:hAnsiTheme="minorEastAsia"/>
                <w:kern w:val="0"/>
                <w:sz w:val="22"/>
              </w:rPr>
              <w:t>4</w:t>
            </w:r>
            <w:r>
              <w:rPr>
                <w:rFonts w:hint="eastAsia" w:ascii="仿宋_GB2312" w:eastAsia="宋体" w:cs="Times New Roman" w:hAnsiTheme="minorEastAsia"/>
                <w:kern w:val="0"/>
                <w:sz w:val="22"/>
              </w:rPr>
              <w:t>.项目团队成员占12分。横向比较，专业、学历、职称、工作经验最高者满分，其余递减扣分；</w:t>
            </w:r>
          </w:p>
          <w:p>
            <w:pPr>
              <w:jc w:val="left"/>
              <w:rPr>
                <w:rFonts w:ascii="仿宋_GB2312" w:eastAsia="宋体" w:cs="Times New Roman" w:hAnsiTheme="minorEastAsia"/>
                <w:kern w:val="0"/>
                <w:sz w:val="22"/>
              </w:rPr>
            </w:pPr>
            <w:r>
              <w:rPr>
                <w:rFonts w:ascii="仿宋_GB2312" w:eastAsia="宋体" w:cs="Times New Roman" w:hAnsiTheme="minorEastAsia"/>
                <w:kern w:val="0"/>
                <w:sz w:val="22"/>
              </w:rPr>
              <w:t>5.</w:t>
            </w:r>
            <w:r>
              <w:rPr>
                <w:rFonts w:hint="eastAsia" w:ascii="仿宋_GB2312" w:eastAsia="宋体" w:cs="Times New Roman" w:hAnsiTheme="minorEastAsia"/>
                <w:kern w:val="0"/>
                <w:sz w:val="22"/>
              </w:rPr>
              <w:t>投标人为深圳供应商，或非深圳供应商但在深圳有合法注册的分公司（或售后机构）得</w:t>
            </w:r>
            <w:r>
              <w:rPr>
                <w:rFonts w:ascii="仿宋_GB2312" w:eastAsia="宋体" w:cs="Times New Roman" w:hAnsiTheme="minorEastAsia"/>
                <w:kern w:val="0"/>
                <w:sz w:val="22"/>
              </w:rPr>
              <w:t>6</w:t>
            </w:r>
            <w:r>
              <w:rPr>
                <w:rFonts w:hint="eastAsia" w:ascii="仿宋_GB2312" w:eastAsia="宋体" w:cs="Times New Roman" w:hAnsiTheme="minorEastAsia"/>
                <w:kern w:val="0"/>
                <w:sz w:val="22"/>
              </w:rPr>
              <w:t>分；投标人为非深圳供应商，但承诺中标后在深圳设立本地经营（服务）网点承诺的，得</w:t>
            </w:r>
            <w:r>
              <w:rPr>
                <w:rFonts w:ascii="仿宋_GB2312" w:eastAsia="宋体" w:cs="Times New Roman" w:hAnsiTheme="minorEastAsia"/>
                <w:kern w:val="0"/>
                <w:sz w:val="22"/>
              </w:rPr>
              <w:t>4</w:t>
            </w:r>
            <w:r>
              <w:rPr>
                <w:rFonts w:hint="eastAsia" w:ascii="仿宋_GB2312" w:eastAsia="宋体" w:cs="Times New Roman" w:hAnsiTheme="minorEastAsia"/>
                <w:kern w:val="0"/>
                <w:sz w:val="22"/>
              </w:rPr>
              <w:t>分，其他情况不得分。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（以上无资质证书不得分。第</w:t>
            </w:r>
            <w:r>
              <w:rPr>
                <w:rFonts w:ascii="仿宋_GB2312" w:eastAsia="宋体" w:cs="Times New Roman" w:hAnsiTheme="minorEastAsia"/>
                <w:kern w:val="0"/>
                <w:sz w:val="22"/>
              </w:rPr>
              <w:t>3</w:t>
            </w:r>
            <w:r>
              <w:rPr>
                <w:rFonts w:hint="eastAsia" w:ascii="仿宋_GB2312" w:eastAsia="宋体" w:cs="Times New Roman" w:hAnsiTheme="minorEastAsia"/>
                <w:kern w:val="0"/>
                <w:sz w:val="22"/>
              </w:rPr>
              <w:t>-</w:t>
            </w:r>
            <w:r>
              <w:rPr>
                <w:rFonts w:ascii="仿宋_GB2312" w:eastAsia="宋体" w:cs="Times New Roman" w:hAnsiTheme="minorEastAsia"/>
                <w:kern w:val="0"/>
                <w:sz w:val="22"/>
              </w:rPr>
              <w:t>4</w:t>
            </w:r>
            <w:r>
              <w:rPr>
                <w:rFonts w:hint="eastAsia" w:ascii="仿宋_GB2312" w:eastAsia="宋体" w:cs="Times New Roman" w:hAnsiTheme="minorEastAsia"/>
                <w:kern w:val="0"/>
                <w:sz w:val="22"/>
              </w:rPr>
              <w:t>项按深圳市财政局关于印发《深圳市政府采购招标文件编制工作指引（2021年 版）》通知深财购[2021]23号文件要求，关于学历、学位证书需要提供证书 复印件以及学信网查询记录，原件备查；</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质量可靠性</w:t>
            </w:r>
          </w:p>
        </w:tc>
        <w:tc>
          <w:tcPr>
            <w:tcW w:w="567" w:type="dxa"/>
            <w:vAlign w:val="center"/>
          </w:tcPr>
          <w:p>
            <w:pPr>
              <w:jc w:val="center"/>
              <w:rPr>
                <w:rFonts w:ascii="仿宋_GB2312" w:eastAsia="宋体" w:cs="Times New Roman" w:hAnsiTheme="minorEastAsia"/>
                <w:kern w:val="0"/>
                <w:sz w:val="24"/>
                <w:szCs w:val="24"/>
              </w:rPr>
            </w:pPr>
            <w:r>
              <w:rPr>
                <w:rFonts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响应</w:t>
            </w:r>
            <w:r>
              <w:rPr>
                <w:rFonts w:ascii="仿宋_GB2312" w:eastAsia="宋体" w:cs="Times New Roman" w:hAnsiTheme="minorEastAsia"/>
                <w:kern w:val="0"/>
                <w:sz w:val="22"/>
              </w:rPr>
              <w:t>速度：</w:t>
            </w:r>
            <w:r>
              <w:rPr>
                <w:rFonts w:hint="eastAsia" w:ascii="仿宋_GB2312" w:eastAsia="宋体" w:cs="Times New Roman" w:hAnsiTheme="minorEastAsia"/>
                <w:kern w:val="0"/>
                <w:sz w:val="22"/>
              </w:rPr>
              <w:t>故障</w:t>
            </w:r>
            <w:r>
              <w:rPr>
                <w:rFonts w:ascii="仿宋_GB2312" w:eastAsia="宋体" w:cs="Times New Roman" w:hAnsiTheme="minorEastAsia"/>
                <w:kern w:val="0"/>
                <w:sz w:val="22"/>
              </w:rPr>
              <w:t>排除响应速度在</w:t>
            </w:r>
            <w:r>
              <w:rPr>
                <w:rFonts w:hint="eastAsia" w:ascii="仿宋_GB2312" w:eastAsia="宋体" w:cs="Times New Roman" w:hAnsiTheme="minorEastAsia"/>
                <w:kern w:val="0"/>
                <w:sz w:val="22"/>
              </w:rPr>
              <w:t>3小时</w:t>
            </w:r>
            <w:r>
              <w:rPr>
                <w:rFonts w:ascii="仿宋_GB2312" w:eastAsia="宋体" w:cs="Times New Roman" w:hAnsiTheme="minorEastAsia"/>
                <w:kern w:val="0"/>
                <w:sz w:val="22"/>
              </w:rPr>
              <w:t>内的</w:t>
            </w:r>
            <w:r>
              <w:rPr>
                <w:rFonts w:hint="eastAsia" w:ascii="仿宋_GB2312" w:eastAsia="宋体" w:cs="Times New Roman" w:hAnsiTheme="minorEastAsia"/>
                <w:kern w:val="0"/>
                <w:sz w:val="22"/>
              </w:rPr>
              <w:t>得</w:t>
            </w:r>
            <w:r>
              <w:rPr>
                <w:rFonts w:ascii="仿宋_GB2312" w:eastAsia="宋体" w:cs="Times New Roman" w:hAnsiTheme="minorEastAsia"/>
                <w:kern w:val="0"/>
                <w:sz w:val="22"/>
              </w:rPr>
              <w:t>10</w:t>
            </w:r>
            <w:r>
              <w:rPr>
                <w:rFonts w:hint="eastAsia" w:ascii="仿宋_GB2312" w:eastAsia="宋体" w:cs="Times New Roman" w:hAnsiTheme="minorEastAsia"/>
                <w:kern w:val="0"/>
                <w:sz w:val="22"/>
              </w:rPr>
              <w:t>分，</w:t>
            </w:r>
            <w:r>
              <w:rPr>
                <w:rFonts w:ascii="仿宋_GB2312" w:eastAsia="宋体" w:cs="Times New Roman" w:hAnsiTheme="minorEastAsia"/>
                <w:kern w:val="0"/>
                <w:sz w:val="22"/>
              </w:rPr>
              <w:t>在</w:t>
            </w:r>
            <w:r>
              <w:rPr>
                <w:rFonts w:hint="eastAsia" w:ascii="仿宋_GB2312" w:eastAsia="宋体" w:cs="Times New Roman" w:hAnsiTheme="minorEastAsia"/>
                <w:kern w:val="0"/>
                <w:sz w:val="22"/>
              </w:rPr>
              <w:t>5小时</w:t>
            </w:r>
            <w:r>
              <w:rPr>
                <w:rFonts w:ascii="仿宋_GB2312" w:eastAsia="宋体" w:cs="Times New Roman" w:hAnsiTheme="minorEastAsia"/>
                <w:kern w:val="0"/>
                <w:sz w:val="22"/>
              </w:rPr>
              <w:t>内的得7</w:t>
            </w:r>
            <w:r>
              <w:rPr>
                <w:rFonts w:hint="eastAsia" w:ascii="仿宋_GB2312" w:eastAsia="宋体" w:cs="Times New Roman" w:hAnsiTheme="minorEastAsia"/>
                <w:kern w:val="0"/>
                <w:sz w:val="22"/>
              </w:rPr>
              <w:t>分，</w:t>
            </w:r>
            <w:r>
              <w:rPr>
                <w:rFonts w:ascii="仿宋_GB2312" w:eastAsia="宋体" w:cs="Times New Roman" w:hAnsiTheme="minorEastAsia"/>
                <w:kern w:val="0"/>
                <w:sz w:val="22"/>
              </w:rPr>
              <w:t>在</w:t>
            </w:r>
            <w:r>
              <w:rPr>
                <w:rFonts w:hint="eastAsia" w:ascii="仿宋_GB2312" w:eastAsia="宋体" w:cs="Times New Roman" w:hAnsiTheme="minorEastAsia"/>
                <w:kern w:val="0"/>
                <w:sz w:val="22"/>
              </w:rPr>
              <w:t>8小时内</w:t>
            </w:r>
            <w:r>
              <w:rPr>
                <w:rFonts w:ascii="仿宋_GB2312" w:eastAsia="宋体" w:cs="Times New Roman" w:hAnsiTheme="minorEastAsia"/>
                <w:kern w:val="0"/>
                <w:sz w:val="22"/>
              </w:rPr>
              <w:t>的</w:t>
            </w:r>
            <w:r>
              <w:rPr>
                <w:rFonts w:hint="eastAsia" w:ascii="仿宋_GB2312" w:eastAsia="宋体" w:cs="Times New Roman" w:hAnsiTheme="minorEastAsia"/>
                <w:kern w:val="0"/>
                <w:sz w:val="22"/>
              </w:rPr>
              <w:t>得</w:t>
            </w:r>
            <w:r>
              <w:rPr>
                <w:rFonts w:ascii="仿宋_GB2312" w:eastAsia="宋体" w:cs="Times New Roman" w:hAnsiTheme="minorEastAsia"/>
                <w:kern w:val="0"/>
                <w:sz w:val="22"/>
              </w:rPr>
              <w:t>4</w:t>
            </w:r>
            <w:r>
              <w:rPr>
                <w:rFonts w:hint="eastAsia" w:ascii="仿宋_GB2312" w:eastAsia="宋体" w:cs="Times New Roman" w:hAnsiTheme="minorEastAsia"/>
                <w:kern w:val="0"/>
                <w:sz w:val="22"/>
              </w:rPr>
              <w:t>分。</w:t>
            </w:r>
            <w:r>
              <w:rPr>
                <w:rFonts w:ascii="仿宋_GB2312" w:eastAsia="宋体" w:cs="Times New Roman" w:hAnsiTheme="minorEastAsia"/>
                <w:kern w:val="0"/>
                <w:sz w:val="22"/>
              </w:rPr>
              <w:t>超过</w:t>
            </w:r>
            <w:r>
              <w:rPr>
                <w:rFonts w:hint="eastAsia" w:ascii="仿宋_GB2312" w:eastAsia="宋体" w:cs="Times New Roman" w:hAnsiTheme="minorEastAsia"/>
                <w:kern w:val="0"/>
                <w:sz w:val="22"/>
              </w:rPr>
              <w:t>8小时</w:t>
            </w:r>
            <w:r>
              <w:rPr>
                <w:rFonts w:ascii="仿宋_GB2312" w:eastAsia="宋体" w:cs="Times New Roman" w:hAnsiTheme="minorEastAsia"/>
                <w:kern w:val="0"/>
                <w:sz w:val="22"/>
              </w:rPr>
              <w:t>不得分。</w:t>
            </w:r>
          </w:p>
          <w:p>
            <w:pPr>
              <w:jc w:val="left"/>
              <w:rPr>
                <w:rFonts w:ascii="仿宋_GB2312" w:eastAsia="宋体" w:cs="Times New Roman" w:hAnsiTheme="minorEastAsia"/>
                <w:kern w:val="0"/>
                <w:sz w:val="22"/>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价格分</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以本次最低投标报价为基准价，投标报价得分=（评标价格/投标报价）×10</w:t>
            </w:r>
          </w:p>
          <w:p>
            <w:pPr>
              <w:jc w:val="left"/>
              <w:rPr>
                <w:rFonts w:ascii="仿宋_GB2312" w:eastAsia="宋体" w:cs="Times New Roman" w:hAnsiTheme="minorEastAsia"/>
                <w:kern w:val="0"/>
                <w:sz w:val="22"/>
              </w:rPr>
            </w:pPr>
            <w:r>
              <w:rPr>
                <w:rFonts w:hint="eastAsia" w:ascii="仿宋_GB2312" w:hAnsi="宋体" w:eastAsia="宋体" w:cs="Times New Roman"/>
                <w:kern w:val="0"/>
                <w:sz w:val="22"/>
              </w:rPr>
              <w:t>依据市财政局有关要求，对参与投标的小微企业、残疾人福利性单位及监狱企业在评审中给予2</w:t>
            </w:r>
            <w:r>
              <w:rPr>
                <w:rFonts w:ascii="仿宋_GB2312" w:hAnsi="宋体" w:eastAsia="宋体" w:cs="Times New Roman"/>
                <w:kern w:val="0"/>
                <w:sz w:val="22"/>
              </w:rPr>
              <w:t>0</w:t>
            </w:r>
            <w:r>
              <w:rPr>
                <w:rFonts w:hint="eastAsia" w:ascii="仿宋_GB2312" w:hAnsi="宋体" w:eastAsia="宋体" w:cs="Times New Roman"/>
                <w:kern w:val="0"/>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售后服务和信誉</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1.服务承诺完全满足招标售后服务要求的得7分；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2.售后服务高于招标要求（正偏离）每项加1分，最多加3分。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合计</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kern w:val="0"/>
                <w:sz w:val="24"/>
                <w:szCs w:val="24"/>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bl>
    <w:p>
      <w:pPr>
        <w:widowControl/>
        <w:jc w:val="left"/>
        <w:rPr>
          <w:rFonts w:ascii="方正小标宋简体" w:eastAsia="方正小标宋简体" w:hAnsiTheme="minorEastAsia"/>
          <w:sz w:val="44"/>
          <w:szCs w:val="44"/>
        </w:rPr>
      </w:pPr>
    </w:p>
    <w:p>
      <w:pPr>
        <w:widowControl/>
        <w:jc w:val="left"/>
        <w:rPr>
          <w:rFonts w:ascii="方正小标宋简体" w:eastAsia="方正小标宋简体" w:hAnsiTheme="minorEastAsia"/>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30"/>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2314047"/>
    <w:multiLevelType w:val="multilevel"/>
    <w:tmpl w:val="623140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9"/>
  </w:num>
  <w:num w:numId="10">
    <w:abstractNumId w:val="3"/>
  </w:num>
  <w:num w:numId="11">
    <w:abstractNumId w:val="13"/>
  </w:num>
  <w:num w:numId="12">
    <w:abstractNumId w:val="15"/>
  </w:num>
  <w:num w:numId="13">
    <w:abstractNumId w:val="1"/>
  </w:num>
  <w:num w:numId="14">
    <w:abstractNumId w:val="20"/>
  </w:num>
  <w:num w:numId="15">
    <w:abstractNumId w:val="17"/>
  </w:num>
  <w:num w:numId="16">
    <w:abstractNumId w:val="8"/>
  </w:num>
  <w:num w:numId="17">
    <w:abstractNumId w:val="14"/>
  </w:num>
  <w:num w:numId="18">
    <w:abstractNumId w:val="18"/>
  </w:num>
  <w:num w:numId="19">
    <w:abstractNumId w:val="11"/>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81A07CE"/>
    <w:rsid w:val="0C86037B"/>
    <w:rsid w:val="0DA24D56"/>
    <w:rsid w:val="0E19503A"/>
    <w:rsid w:val="0E1D2E7C"/>
    <w:rsid w:val="0F0D6E75"/>
    <w:rsid w:val="10005CB5"/>
    <w:rsid w:val="10052D51"/>
    <w:rsid w:val="108717C1"/>
    <w:rsid w:val="1131128F"/>
    <w:rsid w:val="1399420A"/>
    <w:rsid w:val="15EA47D1"/>
    <w:rsid w:val="18B52824"/>
    <w:rsid w:val="1935225E"/>
    <w:rsid w:val="19626AF4"/>
    <w:rsid w:val="1AAA70A6"/>
    <w:rsid w:val="1D1900BD"/>
    <w:rsid w:val="1D4E304F"/>
    <w:rsid w:val="1FEB3581"/>
    <w:rsid w:val="214A2CE5"/>
    <w:rsid w:val="216B4BF9"/>
    <w:rsid w:val="237A6FCA"/>
    <w:rsid w:val="271860AF"/>
    <w:rsid w:val="282861E1"/>
    <w:rsid w:val="28330482"/>
    <w:rsid w:val="2B9D7686"/>
    <w:rsid w:val="30A752A2"/>
    <w:rsid w:val="387A4894"/>
    <w:rsid w:val="3F520393"/>
    <w:rsid w:val="40A9471F"/>
    <w:rsid w:val="415930CE"/>
    <w:rsid w:val="42750D5C"/>
    <w:rsid w:val="44220AAF"/>
    <w:rsid w:val="44774D5F"/>
    <w:rsid w:val="44DB0834"/>
    <w:rsid w:val="48F345EB"/>
    <w:rsid w:val="4B4D067E"/>
    <w:rsid w:val="5151478A"/>
    <w:rsid w:val="55466588"/>
    <w:rsid w:val="59AE6898"/>
    <w:rsid w:val="5C247EE9"/>
    <w:rsid w:val="5D14760E"/>
    <w:rsid w:val="60361A4B"/>
    <w:rsid w:val="60D64CFF"/>
    <w:rsid w:val="621B27E5"/>
    <w:rsid w:val="63122FF4"/>
    <w:rsid w:val="64793801"/>
    <w:rsid w:val="655A5896"/>
    <w:rsid w:val="6A963867"/>
    <w:rsid w:val="6AEF52A0"/>
    <w:rsid w:val="6DAE698D"/>
    <w:rsid w:val="6EB70F47"/>
    <w:rsid w:val="70263C2F"/>
    <w:rsid w:val="726E08E1"/>
    <w:rsid w:val="73926778"/>
    <w:rsid w:val="744E24C1"/>
    <w:rsid w:val="77EC3923"/>
    <w:rsid w:val="7945542F"/>
    <w:rsid w:val="7A266805"/>
    <w:rsid w:val="7BDC13F3"/>
    <w:rsid w:val="7E897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9">
    <w:name w:val="Normal Indent"/>
    <w:basedOn w:val="1"/>
    <w:link w:val="60"/>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2">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3">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4">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5">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6">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7">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8">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9">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30">
    <w:name w:val="footer"/>
    <w:basedOn w:val="1"/>
    <w:link w:val="62"/>
    <w:unhideWhenUsed/>
    <w:qFormat/>
    <w:uiPriority w:val="99"/>
    <w:pPr>
      <w:tabs>
        <w:tab w:val="center" w:pos="4153"/>
        <w:tab w:val="right" w:pos="8306"/>
      </w:tabs>
      <w:snapToGrid w:val="0"/>
      <w:jc w:val="left"/>
    </w:pPr>
    <w:rPr>
      <w:sz w:val="18"/>
      <w:szCs w:val="18"/>
    </w:rPr>
  </w:style>
  <w:style w:type="paragraph" w:styleId="31">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3">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4">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5">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6">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7">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8">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4"/>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7"/>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9"/>
    <w:qFormat/>
    <w:uiPriority w:val="0"/>
    <w:rPr>
      <w:rFonts w:ascii="Calibri" w:hAnsi="Calibri" w:eastAsia="宋体" w:cs="Times New Roman"/>
      <w:szCs w:val="20"/>
    </w:rPr>
  </w:style>
  <w:style w:type="character" w:customStyle="1" w:styleId="61">
    <w:name w:val="页眉 Char"/>
    <w:basedOn w:val="47"/>
    <w:link w:val="31"/>
    <w:qFormat/>
    <w:uiPriority w:val="0"/>
    <w:rPr>
      <w:sz w:val="18"/>
      <w:szCs w:val="18"/>
    </w:rPr>
  </w:style>
  <w:style w:type="character" w:customStyle="1" w:styleId="62">
    <w:name w:val="页脚 Char"/>
    <w:basedOn w:val="47"/>
    <w:link w:val="30"/>
    <w:qFormat/>
    <w:uiPriority w:val="99"/>
    <w:rPr>
      <w:sz w:val="18"/>
      <w:szCs w:val="18"/>
    </w:rPr>
  </w:style>
  <w:style w:type="character" w:customStyle="1" w:styleId="63">
    <w:name w:val="标题 5 Char"/>
    <w:basedOn w:val="47"/>
    <w:link w:val="7"/>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6"/>
    <w:qFormat/>
    <w:uiPriority w:val="0"/>
    <w:rPr>
      <w:rFonts w:ascii="Arial" w:hAnsi="Arial" w:eastAsia="黑体" w:cs="Times New Roman"/>
      <w:b/>
      <w:bCs/>
      <w:sz w:val="28"/>
      <w:szCs w:val="28"/>
      <w:shd w:val="clear" w:color="auto" w:fill="FFFFFF"/>
    </w:rPr>
  </w:style>
  <w:style w:type="character" w:customStyle="1" w:styleId="66">
    <w:name w:val="标题 6 Char"/>
    <w:basedOn w:val="47"/>
    <w:link w:val="8"/>
    <w:qFormat/>
    <w:uiPriority w:val="0"/>
    <w:rPr>
      <w:rFonts w:ascii="Arial" w:hAnsi="Arial" w:eastAsia="黑体" w:cs="Times New Roman"/>
      <w:b/>
      <w:sz w:val="24"/>
      <w:szCs w:val="20"/>
      <w:shd w:val="clear" w:color="auto" w:fill="FFFFFF"/>
    </w:rPr>
  </w:style>
  <w:style w:type="character" w:customStyle="1" w:styleId="67">
    <w:name w:val="标题 7 Char"/>
    <w:basedOn w:val="47"/>
    <w:link w:val="10"/>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1"/>
    <w:qFormat/>
    <w:uiPriority w:val="0"/>
    <w:rPr>
      <w:rFonts w:ascii="Arial" w:hAnsi="Arial" w:eastAsia="黑体" w:cs="Times New Roman"/>
      <w:sz w:val="24"/>
      <w:szCs w:val="20"/>
      <w:shd w:val="clear" w:color="auto" w:fill="FFFFFF"/>
    </w:rPr>
  </w:style>
  <w:style w:type="character" w:customStyle="1" w:styleId="69">
    <w:name w:val="标题 9 Char"/>
    <w:basedOn w:val="47"/>
    <w:link w:val="12"/>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5"/>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5"/>
    <w:qFormat/>
    <w:uiPriority w:val="0"/>
    <w:rPr>
      <w:rFonts w:ascii="宋体" w:hAnsi="Courier New" w:eastAsia="宋体" w:cs="Times New Roman"/>
      <w:szCs w:val="20"/>
      <w:shd w:val="clear" w:color="auto" w:fill="FFFFFF"/>
    </w:rPr>
  </w:style>
  <w:style w:type="character" w:customStyle="1" w:styleId="75">
    <w:name w:val="正文文本缩进 Char"/>
    <w:basedOn w:val="47"/>
    <w:link w:val="22"/>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1"/>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8"/>
    <w:qFormat/>
    <w:uiPriority w:val="0"/>
    <w:rPr>
      <w:rFonts w:ascii="宋体" w:hAnsi="宋体" w:eastAsia="宋体" w:cs="Times New Roman"/>
      <w:szCs w:val="24"/>
      <w:shd w:val="clear" w:color="auto" w:fill="FFFFFF"/>
    </w:rPr>
  </w:style>
  <w:style w:type="character" w:customStyle="1" w:styleId="78">
    <w:name w:val="批注文字 Char"/>
    <w:basedOn w:val="47"/>
    <w:link w:val="19"/>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6"/>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2"/>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7"/>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20"/>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9"/>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4"/>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2"/>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paragraph" w:customStyle="1" w:styleId="28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10571</Words>
  <Characters>11010</Characters>
  <Lines>97</Lines>
  <Paragraphs>27</Paragraphs>
  <TotalTime>1</TotalTime>
  <ScaleCrop>false</ScaleCrop>
  <LinksUpToDate>false</LinksUpToDate>
  <CharactersWithSpaces>11633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2022-02-08T00:55:00Z</cp:lastPrinted>
  <dcterms:modified xsi:type="dcterms:W3CDTF">2023-08-15T02:37:55Z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