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both"/>
        <w:rPr>
          <w:rFonts w:hAnsi="宋体" w:cs="宋体"/>
        </w:rPr>
      </w:pPr>
      <w:bookmarkStart w:id="1" w:name="_GoBack"/>
      <w:bookmarkEnd w:id="1"/>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关于印发《深圳市残疾儿童康复服务定点机构管理办法》的通知</w:t>
      </w:r>
    </w:p>
    <w:p>
      <w:pPr>
        <w:widowControl w:val="0"/>
        <w:spacing w:line="600" w:lineRule="exact"/>
        <w:ind w:firstLine="640"/>
        <w:rPr>
          <w:rFonts w:hAnsi="仿宋_GB2312" w:cs="仿宋_GB2312"/>
        </w:rPr>
      </w:pPr>
    </w:p>
    <w:p>
      <w:pPr>
        <w:widowControl w:val="0"/>
        <w:spacing w:line="580" w:lineRule="exact"/>
        <w:rPr>
          <w:rFonts w:hAnsi="仿宋_GB2312" w:cs="仿宋_GB2312"/>
        </w:rPr>
      </w:pPr>
      <w:r>
        <w:rPr>
          <w:rFonts w:hint="eastAsia" w:hAnsi="仿宋_GB2312" w:cs="仿宋_GB2312"/>
        </w:rPr>
        <w:t>各区（新区）残联、发展改革部门、教育局、民政局</w:t>
      </w:r>
      <w:r>
        <w:rPr>
          <w:rFonts w:hAnsi="仿宋_GB2312" w:cs="仿宋_GB2312"/>
          <w:lang w:val="en"/>
        </w:rPr>
        <w:t>(</w:t>
      </w:r>
      <w:r>
        <w:rPr>
          <w:rFonts w:hint="eastAsia" w:hAnsi="仿宋_GB2312" w:cs="仿宋_GB2312"/>
          <w:lang w:val="en"/>
        </w:rPr>
        <w:t>新区统战和社会建设局</w:t>
      </w:r>
      <w:r>
        <w:rPr>
          <w:rFonts w:hAnsi="仿宋_GB2312" w:cs="仿宋_GB2312"/>
          <w:lang w:val="en"/>
        </w:rPr>
        <w:t>)</w:t>
      </w:r>
      <w:r>
        <w:rPr>
          <w:rFonts w:hint="eastAsia" w:hAnsi="仿宋_GB2312" w:cs="仿宋_GB2312"/>
        </w:rPr>
        <w:t>、卫生健康局、市场监督管理部门：</w:t>
      </w:r>
    </w:p>
    <w:p>
      <w:pPr>
        <w:widowControl w:val="0"/>
        <w:spacing w:line="580" w:lineRule="exact"/>
        <w:ind w:firstLine="640"/>
        <w:rPr>
          <w:rFonts w:hAnsi="仿宋_GB2312" w:cs="仿宋_GB2312"/>
        </w:rPr>
      </w:pPr>
      <w:r>
        <w:rPr>
          <w:rFonts w:hint="eastAsia" w:hAnsi="仿宋_GB2312" w:cs="仿宋_GB2312"/>
        </w:rPr>
        <w:t>为贯彻落实省残联、省发展改革委、省教育厅等七部门联合印发《关于印发</w:t>
      </w:r>
      <w:r>
        <w:rPr>
          <w:rFonts w:hAnsi="仿宋_GB2312" w:cs="仿宋_GB2312"/>
        </w:rPr>
        <w:t>&lt;</w:t>
      </w:r>
      <w:r>
        <w:rPr>
          <w:rFonts w:hint="eastAsia" w:hAnsi="仿宋_GB2312" w:cs="仿宋_GB2312"/>
        </w:rPr>
        <w:t>广东省残疾人康复服务定点机构管理办法</w:t>
      </w:r>
      <w:r>
        <w:rPr>
          <w:rFonts w:hAnsi="仿宋_GB2312" w:cs="仿宋_GB2312"/>
        </w:rPr>
        <w:t>&gt;</w:t>
      </w:r>
      <w:r>
        <w:rPr>
          <w:rFonts w:hint="eastAsia" w:hAnsi="仿宋_GB2312" w:cs="仿宋_GB2312"/>
        </w:rPr>
        <w:t>的通知》（粤残联〔</w:t>
      </w:r>
      <w:r>
        <w:rPr>
          <w:rFonts w:hAnsi="仿宋_GB2312" w:cs="仿宋_GB2312"/>
        </w:rPr>
        <w:t>2021〕9号）精神，进一步加强和规范我市残疾儿童康复服务定点机构管理，更好地为残疾儿童提供康复服务，</w:t>
      </w:r>
      <w:r>
        <w:rPr>
          <w:rFonts w:hint="eastAsia" w:hAnsi="仿宋_GB2312" w:cs="仿宋_GB2312"/>
        </w:rPr>
        <w:t>现将《深圳市残疾儿童康复服务定点机构管理办法》印发给你们，请认真贯彻执行。</w:t>
      </w:r>
    </w:p>
    <w:p>
      <w:pPr>
        <w:widowControl w:val="0"/>
        <w:spacing w:line="580" w:lineRule="exact"/>
        <w:ind w:firstLine="640"/>
        <w:rPr>
          <w:rFonts w:hAnsi="仿宋_GB2312" w:cs="仿宋_GB2312"/>
        </w:rPr>
      </w:pPr>
    </w:p>
    <w:p>
      <w:pPr>
        <w:widowControl w:val="0"/>
        <w:spacing w:line="580" w:lineRule="exact"/>
        <w:ind w:firstLine="640"/>
        <w:rPr>
          <w:rFonts w:hAnsi="仿宋_GB2312" w:cs="仿宋_GB2312"/>
        </w:rPr>
      </w:pPr>
    </w:p>
    <w:p>
      <w:pPr>
        <w:widowControl w:val="0"/>
        <w:spacing w:line="580" w:lineRule="exact"/>
        <w:ind w:firstLine="640"/>
        <w:rPr>
          <w:rFonts w:hAnsi="仿宋_GB2312" w:cs="仿宋_GB2312"/>
        </w:rPr>
      </w:pPr>
      <w:r>
        <w:rPr>
          <w:rFonts w:hint="eastAsia" w:hAnsi="仿宋_GB2312" w:cs="仿宋_GB2312"/>
        </w:rPr>
        <w:t>深圳市残疾人联合会</w:t>
      </w:r>
      <w:r>
        <w:rPr>
          <w:rFonts w:hAnsi="仿宋_GB2312" w:cs="仿宋_GB2312"/>
        </w:rPr>
        <w:t xml:space="preserve">       深圳市发展和改革委员会 </w:t>
      </w:r>
    </w:p>
    <w:p>
      <w:pPr>
        <w:widowControl w:val="0"/>
        <w:spacing w:line="580" w:lineRule="exact"/>
        <w:ind w:firstLine="640"/>
        <w:rPr>
          <w:rFonts w:hAnsi="仿宋_GB2312" w:cs="仿宋_GB2312"/>
        </w:rPr>
      </w:pPr>
    </w:p>
    <w:p>
      <w:pPr>
        <w:widowControl w:val="0"/>
        <w:spacing w:line="580" w:lineRule="exact"/>
        <w:ind w:firstLine="640"/>
        <w:rPr>
          <w:rFonts w:hAnsi="仿宋_GB2312" w:cs="仿宋_GB2312"/>
        </w:rPr>
      </w:pPr>
    </w:p>
    <w:p>
      <w:pPr>
        <w:widowControl w:val="0"/>
        <w:spacing w:line="580" w:lineRule="exact"/>
        <w:ind w:firstLine="640"/>
        <w:rPr>
          <w:rFonts w:hint="eastAsia" w:hAnsi="仿宋_GB2312" w:cs="仿宋_GB2312"/>
        </w:rPr>
      </w:pPr>
    </w:p>
    <w:p>
      <w:pPr>
        <w:widowControl w:val="0"/>
        <w:spacing w:line="580" w:lineRule="exact"/>
        <w:ind w:firstLine="640"/>
        <w:rPr>
          <w:rFonts w:hAnsi="仿宋_GB2312" w:cs="仿宋_GB2312"/>
        </w:rPr>
      </w:pPr>
    </w:p>
    <w:p>
      <w:pPr>
        <w:widowControl w:val="0"/>
        <w:spacing w:line="580" w:lineRule="exact"/>
        <w:ind w:firstLine="1280" w:firstLineChars="400"/>
        <w:rPr>
          <w:rFonts w:hAnsi="仿宋_GB2312" w:cs="仿宋_GB2312"/>
        </w:rPr>
      </w:pPr>
      <w:r>
        <w:rPr>
          <w:rFonts w:hint="eastAsia" w:hAnsi="仿宋_GB2312" w:cs="仿宋_GB2312"/>
        </w:rPr>
        <w:t>深圳市教育局</w:t>
      </w:r>
      <w:r>
        <w:rPr>
          <w:rFonts w:hAnsi="仿宋_GB2312" w:cs="仿宋_GB2312"/>
        </w:rPr>
        <w:t xml:space="preserve">               </w:t>
      </w:r>
      <w:r>
        <w:rPr>
          <w:rFonts w:hint="eastAsia" w:hAnsi="仿宋_GB2312" w:cs="仿宋_GB2312"/>
        </w:rPr>
        <w:t>深圳市民政局</w:t>
      </w:r>
    </w:p>
    <w:p>
      <w:pPr>
        <w:widowControl w:val="0"/>
        <w:spacing w:line="580" w:lineRule="exact"/>
        <w:ind w:firstLine="1280" w:firstLineChars="400"/>
        <w:rPr>
          <w:rFonts w:hAnsi="仿宋_GB2312" w:cs="仿宋_GB2312"/>
        </w:rPr>
      </w:pPr>
    </w:p>
    <w:p>
      <w:pPr>
        <w:widowControl w:val="0"/>
        <w:spacing w:line="580" w:lineRule="exact"/>
        <w:ind w:firstLine="640"/>
        <w:rPr>
          <w:rFonts w:hAnsi="仿宋_GB2312" w:cs="仿宋_GB2312"/>
        </w:rPr>
      </w:pPr>
    </w:p>
    <w:p>
      <w:pPr>
        <w:widowControl w:val="0"/>
        <w:spacing w:line="580" w:lineRule="exact"/>
        <w:ind w:firstLine="640"/>
        <w:rPr>
          <w:rFonts w:hint="eastAsia" w:hAnsi="仿宋_GB2312" w:cs="仿宋_GB2312"/>
        </w:rPr>
      </w:pPr>
    </w:p>
    <w:p>
      <w:pPr>
        <w:widowControl w:val="0"/>
        <w:spacing w:line="580" w:lineRule="exact"/>
        <w:ind w:firstLine="640"/>
        <w:rPr>
          <w:rFonts w:hAnsi="仿宋_GB2312" w:cs="仿宋_GB2312"/>
        </w:rPr>
      </w:pPr>
    </w:p>
    <w:p>
      <w:pPr>
        <w:widowControl w:val="0"/>
        <w:spacing w:line="580" w:lineRule="exact"/>
        <w:ind w:firstLine="640"/>
        <w:rPr>
          <w:rFonts w:hAnsi="仿宋_GB2312" w:cs="仿宋_GB2312"/>
        </w:rPr>
      </w:pPr>
      <w:r>
        <w:rPr>
          <w:rFonts w:hint="eastAsia" w:hAnsi="仿宋_GB2312" w:cs="仿宋_GB2312"/>
        </w:rPr>
        <w:t>深圳市卫生健康委员会</w:t>
      </w:r>
      <w:r>
        <w:rPr>
          <w:rFonts w:hAnsi="仿宋_GB2312" w:cs="仿宋_GB2312"/>
        </w:rPr>
        <w:t xml:space="preserve">       深圳市市场监督管理局 </w:t>
      </w:r>
    </w:p>
    <w:p>
      <w:pPr>
        <w:widowControl w:val="0"/>
        <w:spacing w:line="580" w:lineRule="exact"/>
        <w:ind w:firstLine="640"/>
        <w:rPr>
          <w:rFonts w:hAnsi="仿宋_GB2312" w:cs="仿宋_GB2312"/>
        </w:rPr>
      </w:pPr>
      <w:r>
        <w:rPr>
          <w:rFonts w:hAnsi="仿宋_GB2312" w:cs="仿宋_GB2312"/>
        </w:rPr>
        <w:t xml:space="preserve">                           </w:t>
      </w:r>
      <w:r>
        <w:rPr>
          <w:rFonts w:hint="eastAsia" w:hAnsi="仿宋_GB2312" w:cs="仿宋_GB2312"/>
        </w:rPr>
        <w:t xml:space="preserve"> </w:t>
      </w:r>
      <w:r>
        <w:rPr>
          <w:rFonts w:hAnsi="仿宋_GB2312" w:cs="仿宋_GB2312"/>
        </w:rPr>
        <w:t xml:space="preserve">  2022</w:t>
      </w:r>
      <w:r>
        <w:rPr>
          <w:rFonts w:hint="eastAsia" w:hAnsi="仿宋_GB2312" w:cs="仿宋_GB2312"/>
        </w:rPr>
        <w:t>年</w:t>
      </w:r>
      <w:r>
        <w:rPr>
          <w:rFonts w:hAnsi="仿宋_GB2312" w:cs="仿宋_GB2312"/>
        </w:rPr>
        <w:t>1月</w:t>
      </w:r>
      <w:r>
        <w:rPr>
          <w:rFonts w:hint="eastAsia" w:hAnsi="仿宋_GB2312" w:cs="仿宋_GB2312"/>
        </w:rPr>
        <w:t>14日</w:t>
      </w:r>
    </w:p>
    <w:p>
      <w:pPr>
        <w:widowControl w:val="0"/>
        <w:ind w:firstLine="640"/>
        <w:rPr>
          <w:rFonts w:hAnsi="仿宋_GB2312" w:cs="仿宋_GB2312"/>
        </w:rPr>
      </w:pPr>
    </w:p>
    <w:p>
      <w:pPr>
        <w:widowControl w:val="0"/>
        <w:ind w:firstLine="640"/>
        <w:rPr>
          <w:rFonts w:hAnsi="仿宋_GB2312" w:cs="仿宋_GB2312"/>
        </w:rPr>
      </w:pPr>
    </w:p>
    <w:p>
      <w:pPr>
        <w:widowControl w:val="0"/>
        <w:ind w:firstLine="640"/>
        <w:rPr>
          <w:rFonts w:hAnsi="仿宋_GB2312" w:cs="仿宋_GB2312"/>
        </w:rPr>
      </w:pPr>
    </w:p>
    <w:p>
      <w:pPr>
        <w:widowControl w:val="0"/>
        <w:ind w:firstLine="640"/>
        <w:rPr>
          <w:rFonts w:hAnsi="仿宋_GB2312" w:cs="仿宋_GB2312"/>
        </w:rPr>
      </w:pPr>
    </w:p>
    <w:p>
      <w:pPr>
        <w:widowControl w:val="0"/>
        <w:ind w:firstLine="640"/>
        <w:rPr>
          <w:rFonts w:hAnsi="仿宋_GB2312" w:cs="仿宋_GB2312"/>
        </w:rPr>
      </w:pPr>
    </w:p>
    <w:p>
      <w:pPr>
        <w:widowControl w:val="0"/>
        <w:spacing w:line="720" w:lineRule="exact"/>
        <w:jc w:val="center"/>
        <w:rPr>
          <w:rFonts w:ascii="方正小标宋简体" w:hAnsi="宋体" w:eastAsia="方正小标宋简体" w:cs="宋体"/>
          <w:sz w:val="44"/>
          <w:szCs w:val="44"/>
        </w:rPr>
      </w:pPr>
      <w:bookmarkStart w:id="0" w:name="正文"/>
      <w:r>
        <w:rPr>
          <w:rFonts w:hint="eastAsia" w:ascii="方正小标宋简体" w:hAnsi="宋体" w:eastAsia="方正小标宋简体" w:cs="宋体"/>
          <w:sz w:val="44"/>
          <w:szCs w:val="44"/>
        </w:rPr>
        <w:t>深圳市残疾儿童康复服务定点机构管理办法</w:t>
      </w:r>
    </w:p>
    <w:p>
      <w:pPr>
        <w:widowControl w:val="0"/>
        <w:spacing w:line="578" w:lineRule="exact"/>
        <w:ind w:firstLine="640"/>
        <w:jc w:val="center"/>
        <w:rPr>
          <w:rFonts w:ascii="方正小标宋简体" w:hAnsi="宋体" w:eastAsia="方正小标宋简体" w:cs="宋体"/>
        </w:rPr>
      </w:pPr>
    </w:p>
    <w:p>
      <w:pPr>
        <w:widowControl w:val="0"/>
        <w:numPr>
          <w:ilvl w:val="0"/>
          <w:numId w:val="5"/>
        </w:numPr>
        <w:spacing w:line="580" w:lineRule="exact"/>
        <w:jc w:val="center"/>
        <w:rPr>
          <w:rFonts w:ascii="黑体" w:hAnsi="黑体" w:eastAsia="黑体" w:cs="黑体"/>
        </w:rPr>
      </w:pPr>
      <w:r>
        <w:rPr>
          <w:rFonts w:ascii="黑体" w:hAnsi="黑体" w:eastAsia="黑体" w:cs="黑体"/>
        </w:rPr>
        <w:t xml:space="preserve"> 总 则</w:t>
      </w:r>
    </w:p>
    <w:p>
      <w:pPr>
        <w:widowControl w:val="0"/>
        <w:spacing w:line="578" w:lineRule="exact"/>
        <w:ind w:firstLine="640"/>
        <w:rPr>
          <w:rFonts w:hAnsi="黑体" w:cs="黑体"/>
        </w:rPr>
      </w:pPr>
    </w:p>
    <w:p>
      <w:pPr>
        <w:widowControl w:val="0"/>
        <w:spacing w:line="580" w:lineRule="exact"/>
        <w:ind w:firstLine="643"/>
        <w:rPr>
          <w:rFonts w:hAnsi="仿宋_GB2312" w:cs="仿宋_GB2312"/>
        </w:rPr>
      </w:pPr>
      <w:r>
        <w:rPr>
          <w:rFonts w:hint="eastAsia" w:hAnsi="仿宋_GB2312" w:cs="仿宋_GB2312"/>
          <w:b/>
        </w:rPr>
        <w:t>第一条</w:t>
      </w:r>
      <w:r>
        <w:rPr>
          <w:rFonts w:hAnsi="仿宋_GB2312" w:cs="仿宋_GB2312"/>
        </w:rPr>
        <w:t xml:space="preserve">  为规范我市残疾儿童康复服务定点机构（以下简称“定点机构”）管理，提高康复救助服务质量和水平，根据《残疾预防和残疾人康复条例》（国务院令第675号）《国务院关于建立残疾儿童康复救助制度的意见》（国发〔2018〕20号）、《残疾人服务机构管理办法》（民发〔2018〕31号）、《广东省残疾人康复服务定点机构管理办法》（粤残联〔2021〕9号）等相关规定，结合我市实际，制定本办法。</w:t>
      </w:r>
    </w:p>
    <w:p>
      <w:pPr>
        <w:widowControl w:val="0"/>
        <w:spacing w:line="580" w:lineRule="exact"/>
        <w:ind w:firstLine="643"/>
        <w:rPr>
          <w:rFonts w:hAnsi="仿宋_GB2312" w:cs="仿宋_GB2312"/>
        </w:rPr>
      </w:pPr>
      <w:r>
        <w:rPr>
          <w:rFonts w:hint="eastAsia" w:hAnsi="仿宋_GB2312" w:cs="仿宋_GB2312"/>
          <w:b/>
        </w:rPr>
        <w:t>第二条</w:t>
      </w:r>
      <w:r>
        <w:rPr>
          <w:rFonts w:hAnsi="仿宋_GB2312" w:cs="仿宋_GB2312"/>
          <w:b/>
        </w:rPr>
        <w:t xml:space="preserve"> </w:t>
      </w:r>
      <w:r>
        <w:rPr>
          <w:rFonts w:hAnsi="仿宋_GB2312" w:cs="仿宋_GB2312"/>
        </w:rPr>
        <w:t xml:space="preserve"> </w:t>
      </w:r>
      <w:r>
        <w:rPr>
          <w:rFonts w:hint="eastAsia" w:hAnsi="仿宋_GB2312" w:cs="仿宋_GB2312"/>
        </w:rPr>
        <w:t>本办法所称定点机构是指按本办法规定，为符合条件的残疾儿童提供医疗康复、康复训练、早期干预及支持性服务的机构。</w:t>
      </w:r>
    </w:p>
    <w:p>
      <w:pPr>
        <w:widowControl w:val="0"/>
        <w:spacing w:line="580" w:lineRule="exact"/>
        <w:ind w:firstLine="643"/>
        <w:rPr>
          <w:rFonts w:hAnsi="仿宋_GB2312" w:cs="仿宋_GB2312"/>
        </w:rPr>
      </w:pPr>
      <w:r>
        <w:rPr>
          <w:rFonts w:hint="eastAsia" w:hAnsi="仿宋_GB2312" w:cs="仿宋_GB2312"/>
          <w:b/>
          <w:bCs/>
        </w:rPr>
        <w:t>第三条</w:t>
      </w:r>
      <w:r>
        <w:rPr>
          <w:rFonts w:hAnsi="仿宋_GB2312" w:cs="仿宋_GB2312"/>
          <w:b/>
          <w:bCs/>
        </w:rPr>
        <w:t xml:space="preserve">  </w:t>
      </w:r>
      <w:r>
        <w:rPr>
          <w:rFonts w:hint="eastAsia" w:hAnsi="仿宋_GB2312" w:cs="仿宋_GB2312"/>
        </w:rPr>
        <w:t>深圳市残疾人联合会（以下简称“市残联”）负责实施对定点机构的定点服务管理，各区（含新区，下同）残联负责本辖区内定点机构康复服务的监管，并及时向市残联报告相关情况。民政、卫生健康、教育等行业管理部门对定点机构承担行业管理职责，并协助残联组织做好定点机构服务管理相关工作。</w:t>
      </w:r>
    </w:p>
    <w:p>
      <w:pPr>
        <w:widowControl w:val="0"/>
        <w:spacing w:line="580" w:lineRule="exact"/>
        <w:ind w:firstLine="640"/>
        <w:rPr>
          <w:rFonts w:hAnsi="仿宋_GB2312" w:cs="仿宋_GB2312"/>
        </w:rPr>
      </w:pPr>
    </w:p>
    <w:p>
      <w:pPr>
        <w:widowControl w:val="0"/>
        <w:numPr>
          <w:ilvl w:val="0"/>
          <w:numId w:val="5"/>
        </w:numPr>
        <w:spacing w:line="580" w:lineRule="exact"/>
        <w:jc w:val="center"/>
        <w:rPr>
          <w:rFonts w:ascii="黑体" w:hAnsi="黑体" w:eastAsia="黑体" w:cs="黑体"/>
        </w:rPr>
      </w:pPr>
      <w:r>
        <w:rPr>
          <w:rFonts w:ascii="黑体" w:hAnsi="黑体" w:eastAsia="黑体" w:cs="黑体"/>
        </w:rPr>
        <w:t xml:space="preserve"> 定点机构基本条件</w:t>
      </w:r>
    </w:p>
    <w:p>
      <w:pPr>
        <w:widowControl w:val="0"/>
        <w:spacing w:line="580" w:lineRule="exact"/>
        <w:ind w:firstLine="643"/>
        <w:rPr>
          <w:rFonts w:hAnsi="仿宋_GB2312" w:cs="仿宋_GB2312"/>
          <w:b/>
          <w:bCs/>
        </w:rPr>
      </w:pPr>
    </w:p>
    <w:p>
      <w:pPr>
        <w:widowControl w:val="0"/>
        <w:spacing w:line="580" w:lineRule="exact"/>
        <w:ind w:firstLine="643"/>
        <w:rPr>
          <w:rFonts w:hAnsi="仿宋_GB2312" w:cs="仿宋_GB2312"/>
        </w:rPr>
      </w:pPr>
      <w:r>
        <w:rPr>
          <w:rFonts w:hint="eastAsia" w:hAnsi="仿宋_GB2312" w:cs="仿宋_GB2312"/>
          <w:b/>
          <w:bCs/>
        </w:rPr>
        <w:t>第四条</w:t>
      </w:r>
      <w:r>
        <w:rPr>
          <w:rFonts w:hAnsi="仿宋_GB2312" w:cs="仿宋_GB2312"/>
          <w:b/>
          <w:bCs/>
        </w:rPr>
        <w:t xml:space="preserve">  </w:t>
      </w:r>
      <w:r>
        <w:rPr>
          <w:rFonts w:hint="eastAsia" w:hAnsi="仿宋_GB2312" w:cs="仿宋_GB2312"/>
        </w:rPr>
        <w:t>定点机构应具备以下基本条件</w:t>
      </w:r>
      <w:r>
        <w:rPr>
          <w:rFonts w:hAnsi="仿宋_GB2312" w:cs="仿宋_GB2312"/>
        </w:rPr>
        <w:t>:</w:t>
      </w:r>
    </w:p>
    <w:p>
      <w:pPr>
        <w:widowControl w:val="0"/>
        <w:tabs>
          <w:tab w:val="left" w:pos="0"/>
        </w:tabs>
        <w:spacing w:line="580" w:lineRule="exact"/>
        <w:ind w:firstLine="640"/>
        <w:rPr>
          <w:rFonts w:hAnsi="仿宋_GB2312" w:cs="仿宋_GB2312"/>
        </w:rPr>
      </w:pPr>
      <w:r>
        <w:rPr>
          <w:rFonts w:hint="eastAsia" w:hAnsi="仿宋_GB2312" w:cs="仿宋_GB2312"/>
        </w:rPr>
        <w:t>（一）经深圳市相关职能部门批准成立并依法登记，拥有独立法人资格或取得《医疗机构执业许可证》，自愿申请成为定点机构，履行相应责任和义务，具备承担残疾儿童康复服务的能力。遵守国家、省、市有关康复服务及物价管理法律、法规和标准，有健全和完善的服务管理制度；</w:t>
      </w:r>
    </w:p>
    <w:p>
      <w:pPr>
        <w:widowControl w:val="0"/>
        <w:tabs>
          <w:tab w:val="left" w:pos="0"/>
        </w:tabs>
        <w:spacing w:line="580" w:lineRule="exact"/>
        <w:ind w:firstLine="640"/>
        <w:rPr>
          <w:rFonts w:hAnsi="仿宋_GB2312" w:cs="仿宋_GB2312"/>
        </w:rPr>
      </w:pPr>
      <w:r>
        <w:rPr>
          <w:rFonts w:hint="eastAsia" w:hAnsi="仿宋_GB2312" w:cs="仿宋_GB2312"/>
        </w:rPr>
        <w:t>（二）服务场地使用面积、地理位置、周围环境、室内设计、消防设施、无障碍环境建设符合法律、法规关于开展康复服务业务的规定和要求。无相关法律、法规规定的，应符合残联组织和行业管理部门制定的有关规范。从递交申请材料之日起计算，服务场所使用权或租赁剩余有效期</w:t>
      </w:r>
      <w:r>
        <w:rPr>
          <w:rFonts w:hAnsi="仿宋_GB2312" w:cs="仿宋_GB2312"/>
        </w:rPr>
        <w:t>2年以上。有效期不足2年的，如能提供场地继续使用时间至满2年的有关材料，也可认定为符合条件</w:t>
      </w:r>
      <w:r>
        <w:rPr>
          <w:rFonts w:hint="eastAsia" w:hAnsi="仿宋_GB2312" w:cs="仿宋_GB2312"/>
        </w:rPr>
        <w:t>；</w:t>
      </w:r>
    </w:p>
    <w:p>
      <w:pPr>
        <w:widowControl w:val="0"/>
        <w:tabs>
          <w:tab w:val="left" w:pos="0"/>
        </w:tabs>
        <w:spacing w:line="580" w:lineRule="exact"/>
        <w:ind w:firstLine="640"/>
        <w:rPr>
          <w:rFonts w:hAnsi="仿宋_GB2312" w:cs="仿宋_GB2312"/>
        </w:rPr>
      </w:pPr>
      <w:r>
        <w:rPr>
          <w:rFonts w:hint="eastAsia" w:hAnsi="仿宋_GB2312" w:cs="仿宋_GB2312"/>
        </w:rPr>
        <w:t>（三）部门设置、人员配置、设备设施、档案管理等符合残疾儿童康复服务项目的要求，能够按照有关服务协议、服务规范和服务标准规定的服务内容、服务流程、服务周期和质量要求为残疾儿童提供康复服务；</w:t>
      </w:r>
    </w:p>
    <w:p>
      <w:pPr>
        <w:widowControl w:val="0"/>
        <w:spacing w:line="580" w:lineRule="exact"/>
        <w:ind w:firstLine="640"/>
        <w:rPr>
          <w:rFonts w:hAnsi="仿宋_GB2312" w:cs="仿宋_GB2312"/>
        </w:rPr>
      </w:pPr>
      <w:r>
        <w:rPr>
          <w:rFonts w:hint="eastAsia" w:hAnsi="仿宋_GB2312" w:cs="仿宋_GB2312"/>
        </w:rPr>
        <w:t>（四）自开办之日起，连续开展残疾儿童康复服务不少于</w:t>
      </w:r>
      <w:r>
        <w:rPr>
          <w:rFonts w:hAnsi="仿宋_GB2312" w:cs="仿宋_GB2312"/>
        </w:rPr>
        <w:t>6个月</w:t>
      </w:r>
      <w:r>
        <w:rPr>
          <w:rFonts w:hint="eastAsia" w:hAnsi="仿宋_GB2312" w:cs="仿宋_GB2312"/>
        </w:rPr>
        <w:t>；</w:t>
      </w:r>
    </w:p>
    <w:p>
      <w:pPr>
        <w:widowControl w:val="0"/>
        <w:tabs>
          <w:tab w:val="left" w:pos="0"/>
        </w:tabs>
        <w:spacing w:line="580" w:lineRule="exact"/>
        <w:ind w:firstLine="640"/>
        <w:rPr>
          <w:rFonts w:hAnsi="仿宋_GB2312" w:cs="仿宋_GB2312"/>
        </w:rPr>
      </w:pPr>
      <w:r>
        <w:rPr>
          <w:rFonts w:hint="eastAsia" w:hAnsi="仿宋_GB2312" w:cs="仿宋_GB2312"/>
        </w:rPr>
        <w:t>（五）在“省公共信用平台”、“国家企业信用信息公示系统”和其他政府监管、执法部门无重大违法违规等不良记录；未发生过重大伤亡或责任事故。</w:t>
      </w:r>
    </w:p>
    <w:p>
      <w:pPr>
        <w:widowControl w:val="0"/>
        <w:tabs>
          <w:tab w:val="left" w:pos="0"/>
        </w:tabs>
        <w:spacing w:line="580" w:lineRule="exact"/>
        <w:ind w:firstLine="643"/>
        <w:rPr>
          <w:rFonts w:hAnsi="仿宋_GB2312" w:cs="仿宋_GB2312"/>
        </w:rPr>
      </w:pPr>
      <w:r>
        <w:rPr>
          <w:rFonts w:hint="eastAsia" w:hAnsi="仿宋_GB2312" w:cs="仿宋_GB2312"/>
          <w:b/>
          <w:bCs/>
        </w:rPr>
        <w:t>第五条</w:t>
      </w:r>
      <w:r>
        <w:rPr>
          <w:rFonts w:hAnsi="仿宋_GB2312" w:cs="仿宋_GB2312"/>
          <w:b/>
          <w:bCs/>
        </w:rPr>
        <w:t xml:space="preserve">  </w:t>
      </w:r>
      <w:r>
        <w:rPr>
          <w:rFonts w:hint="eastAsia" w:hAnsi="仿宋_GB2312" w:cs="仿宋_GB2312"/>
        </w:rPr>
        <w:t>定点机构分为营利性和非营利性机构，一般包括以下类别：</w:t>
      </w:r>
    </w:p>
    <w:p>
      <w:pPr>
        <w:widowControl w:val="0"/>
        <w:tabs>
          <w:tab w:val="left" w:pos="0"/>
        </w:tabs>
        <w:spacing w:line="580" w:lineRule="exact"/>
        <w:ind w:firstLine="640"/>
        <w:rPr>
          <w:rFonts w:hAnsi="仿宋_GB2312" w:cs="仿宋_GB2312"/>
        </w:rPr>
      </w:pPr>
      <w:r>
        <w:rPr>
          <w:rFonts w:hint="eastAsia" w:hAnsi="仿宋_GB2312" w:cs="仿宋_GB2312"/>
        </w:rPr>
        <w:t>（一）残疾人康复机构（如康复中心、综合服务中心等）；</w:t>
      </w:r>
    </w:p>
    <w:p>
      <w:pPr>
        <w:widowControl w:val="0"/>
        <w:tabs>
          <w:tab w:val="left" w:pos="0"/>
        </w:tabs>
        <w:spacing w:line="580" w:lineRule="exact"/>
        <w:ind w:firstLine="640"/>
        <w:rPr>
          <w:rFonts w:hAnsi="仿宋_GB2312" w:cs="仿宋_GB2312"/>
        </w:rPr>
      </w:pPr>
      <w:r>
        <w:rPr>
          <w:rFonts w:hint="eastAsia" w:hAnsi="仿宋_GB2312" w:cs="仿宋_GB2312"/>
        </w:rPr>
        <w:t>（二）特殊或普通教育机构（如学校、幼儿园等）</w:t>
      </w:r>
      <w:r>
        <w:rPr>
          <w:rFonts w:hAnsi="仿宋_GB2312" w:cs="仿宋_GB2312"/>
        </w:rPr>
        <w:t>;</w:t>
      </w:r>
    </w:p>
    <w:p>
      <w:pPr>
        <w:widowControl w:val="0"/>
        <w:tabs>
          <w:tab w:val="left" w:pos="0"/>
        </w:tabs>
        <w:spacing w:line="580" w:lineRule="exact"/>
        <w:ind w:firstLine="640"/>
        <w:rPr>
          <w:rFonts w:hAnsi="仿宋_GB2312" w:cs="仿宋_GB2312"/>
        </w:rPr>
      </w:pPr>
      <w:r>
        <w:rPr>
          <w:rFonts w:hint="eastAsia" w:hAnsi="仿宋_GB2312" w:cs="仿宋_GB2312"/>
        </w:rPr>
        <w:t>（三）儿童福利机构（如福利院等）</w:t>
      </w:r>
      <w:r>
        <w:rPr>
          <w:rFonts w:hAnsi="仿宋_GB2312" w:cs="仿宋_GB2312"/>
        </w:rPr>
        <w:t>;</w:t>
      </w:r>
    </w:p>
    <w:p>
      <w:pPr>
        <w:widowControl w:val="0"/>
        <w:tabs>
          <w:tab w:val="left" w:pos="0"/>
        </w:tabs>
        <w:spacing w:line="580" w:lineRule="exact"/>
        <w:ind w:firstLine="640"/>
        <w:rPr>
          <w:rFonts w:hAnsi="仿宋_GB2312" w:cs="仿宋_GB2312"/>
        </w:rPr>
      </w:pPr>
      <w:r>
        <w:rPr>
          <w:rFonts w:hint="eastAsia" w:hAnsi="仿宋_GB2312" w:cs="仿宋_GB2312"/>
        </w:rPr>
        <w:t>（四）提供康复服务的医疗机构；</w:t>
      </w:r>
    </w:p>
    <w:p>
      <w:pPr>
        <w:widowControl w:val="0"/>
        <w:tabs>
          <w:tab w:val="left" w:pos="0"/>
        </w:tabs>
        <w:spacing w:line="580" w:lineRule="exact"/>
        <w:ind w:firstLine="640"/>
        <w:rPr>
          <w:rFonts w:hAnsi="仿宋_GB2312" w:cs="仿宋_GB2312"/>
        </w:rPr>
      </w:pPr>
      <w:r>
        <w:rPr>
          <w:rFonts w:hint="eastAsia" w:hAnsi="仿宋_GB2312" w:cs="仿宋_GB2312"/>
        </w:rPr>
        <w:t>（五）其他符合条件的残疾人康复服务机构。</w:t>
      </w:r>
    </w:p>
    <w:p>
      <w:pPr>
        <w:widowControl w:val="0"/>
        <w:tabs>
          <w:tab w:val="left" w:pos="0"/>
        </w:tabs>
        <w:spacing w:line="580" w:lineRule="exact"/>
        <w:ind w:firstLine="640"/>
        <w:rPr>
          <w:rFonts w:hAnsi="仿宋_GB2312" w:cs="仿宋_GB2312"/>
        </w:rPr>
      </w:pPr>
      <w:r>
        <w:rPr>
          <w:rFonts w:hint="eastAsia" w:hAnsi="仿宋_GB2312" w:cs="仿宋_GB2312"/>
        </w:rPr>
        <w:t>以生活照护、文化课培训等非康复类服务为主要营业范围的机构，不属于定点机构。</w:t>
      </w:r>
    </w:p>
    <w:p>
      <w:pPr>
        <w:widowControl w:val="0"/>
        <w:tabs>
          <w:tab w:val="left" w:pos="0"/>
        </w:tabs>
        <w:spacing w:line="580" w:lineRule="exact"/>
        <w:ind w:firstLine="640"/>
        <w:rPr>
          <w:rFonts w:hAnsi="仿宋_GB2312" w:cs="仿宋_GB2312"/>
        </w:rPr>
      </w:pPr>
    </w:p>
    <w:p>
      <w:pPr>
        <w:widowControl w:val="0"/>
        <w:numPr>
          <w:ilvl w:val="0"/>
          <w:numId w:val="5"/>
        </w:numPr>
        <w:spacing w:line="580" w:lineRule="exact"/>
        <w:jc w:val="center"/>
        <w:rPr>
          <w:rFonts w:ascii="黑体" w:hAnsi="黑体" w:eastAsia="黑体" w:cs="黑体"/>
        </w:rPr>
      </w:pPr>
      <w:r>
        <w:rPr>
          <w:rFonts w:ascii="黑体" w:hAnsi="黑体" w:eastAsia="黑体" w:cs="黑体"/>
        </w:rPr>
        <w:t xml:space="preserve"> 定点机构的申请及认定</w:t>
      </w:r>
    </w:p>
    <w:p>
      <w:pPr>
        <w:widowControl w:val="0"/>
        <w:spacing w:line="580" w:lineRule="exact"/>
        <w:ind w:firstLine="640"/>
        <w:rPr>
          <w:rFonts w:hAnsi="黑体" w:cs="黑体"/>
        </w:rPr>
      </w:pPr>
    </w:p>
    <w:p>
      <w:pPr>
        <w:widowControl w:val="0"/>
        <w:spacing w:line="580" w:lineRule="exact"/>
        <w:ind w:firstLine="643"/>
        <w:rPr>
          <w:rFonts w:hAnsi="仿宋_GB2312" w:cs="仿宋_GB2312"/>
        </w:rPr>
      </w:pPr>
      <w:r>
        <w:rPr>
          <w:rFonts w:hint="eastAsia" w:hAnsi="仿宋_GB2312" w:cs="仿宋_GB2312"/>
          <w:b/>
          <w:bCs/>
        </w:rPr>
        <w:t>第六条</w:t>
      </w:r>
      <w:r>
        <w:rPr>
          <w:rFonts w:hAnsi="仿宋_GB2312" w:cs="仿宋_GB2312"/>
          <w:b/>
          <w:bCs/>
        </w:rPr>
        <w:t xml:space="preserve">  </w:t>
      </w:r>
      <w:r>
        <w:rPr>
          <w:rFonts w:hint="eastAsia" w:hAnsi="仿宋_GB2312" w:cs="仿宋_GB2312"/>
        </w:rPr>
        <w:t>市残联组织开展定点机构的认定工作，行业管理部门应当提供支持、协助。定点机构的认定流程如下：</w:t>
      </w:r>
    </w:p>
    <w:p>
      <w:pPr>
        <w:widowControl w:val="0"/>
        <w:spacing w:line="580" w:lineRule="exact"/>
        <w:ind w:firstLine="640"/>
        <w:rPr>
          <w:rFonts w:hAnsi="仿宋_GB2312" w:cs="仿宋_GB2312"/>
        </w:rPr>
      </w:pPr>
      <w:r>
        <w:rPr>
          <w:rFonts w:hint="eastAsia" w:hAnsi="楷体_GB2312" w:cs="楷体_GB2312"/>
        </w:rPr>
        <w:t>（一）申请。有申报意向的定点机构可向市残联提出</w:t>
      </w:r>
      <w:r>
        <w:rPr>
          <w:rFonts w:hint="eastAsia" w:hAnsi="仿宋_GB2312" w:cs="仿宋_GB2312"/>
        </w:rPr>
        <w:t>申请，并提交以下材料：</w:t>
      </w:r>
    </w:p>
    <w:p>
      <w:pPr>
        <w:widowControl w:val="0"/>
        <w:spacing w:line="580" w:lineRule="exact"/>
        <w:ind w:firstLine="640"/>
        <w:rPr>
          <w:rFonts w:hAnsi="仿宋_GB2312" w:cs="仿宋_GB2312"/>
        </w:rPr>
      </w:pPr>
      <w:r>
        <w:rPr>
          <w:rFonts w:hAnsi="仿宋_GB2312" w:cs="仿宋_GB2312"/>
        </w:rPr>
        <w:t>1.提交《深圳市残疾人康复服务定点机构申请表》。</w:t>
      </w:r>
    </w:p>
    <w:p>
      <w:pPr>
        <w:widowControl w:val="0"/>
        <w:spacing w:line="580" w:lineRule="exact"/>
        <w:ind w:firstLine="640"/>
        <w:rPr>
          <w:rFonts w:hAnsi="仿宋_GB2312" w:cs="仿宋_GB2312"/>
        </w:rPr>
      </w:pPr>
      <w:r>
        <w:rPr>
          <w:rFonts w:hAnsi="仿宋_GB2312" w:cs="仿宋_GB2312"/>
        </w:rPr>
        <w:t>2.机构康复业务资料。包括：</w:t>
      </w:r>
    </w:p>
    <w:p>
      <w:pPr>
        <w:widowControl w:val="0"/>
        <w:spacing w:line="580" w:lineRule="exact"/>
        <w:ind w:firstLine="640"/>
        <w:rPr>
          <w:rFonts w:hAnsi="仿宋_GB2312" w:cs="仿宋_GB2312"/>
          <w:sz w:val="36"/>
          <w:szCs w:val="36"/>
        </w:rPr>
      </w:pPr>
      <w:r>
        <w:rPr>
          <w:rFonts w:hint="eastAsia" w:hAnsi="仿宋_GB2312" w:cs="仿宋_GB2312"/>
        </w:rPr>
        <w:t>（</w:t>
      </w:r>
      <w:r>
        <w:rPr>
          <w:rFonts w:hAnsi="仿宋_GB2312" w:cs="仿宋_GB2312"/>
        </w:rPr>
        <w:t>1）业务场地、内设部门、服务范围、服务规模、服务项目、服务特色、服务质量、价格收费等相关资料</w:t>
      </w:r>
      <w:r>
        <w:rPr>
          <w:rFonts w:hint="eastAsia" w:hAnsi="仿宋_GB2312" w:cs="仿宋_GB2312"/>
        </w:rPr>
        <w:t>；</w:t>
      </w:r>
    </w:p>
    <w:p>
      <w:pPr>
        <w:widowControl w:val="0"/>
        <w:spacing w:line="580" w:lineRule="exact"/>
        <w:ind w:firstLine="640"/>
        <w:rPr>
          <w:rFonts w:hAnsi="仿宋_GB2312" w:cs="仿宋_GB2312"/>
        </w:rPr>
      </w:pPr>
      <w:r>
        <w:rPr>
          <w:rFonts w:hint="eastAsia" w:hAnsi="仿宋_GB2312" w:cs="仿宋_GB2312"/>
        </w:rPr>
        <w:t>（</w:t>
      </w:r>
      <w:r>
        <w:rPr>
          <w:rFonts w:hAnsi="仿宋_GB2312" w:cs="仿宋_GB2312"/>
        </w:rPr>
        <w:t>2）专业技术人员花名册、劳动合同及职业资格证复印件</w:t>
      </w:r>
      <w:r>
        <w:rPr>
          <w:rFonts w:hint="eastAsia" w:hAnsi="仿宋_GB2312" w:cs="仿宋_GB2312"/>
        </w:rPr>
        <w:t>；</w:t>
      </w:r>
    </w:p>
    <w:p>
      <w:pPr>
        <w:widowControl w:val="0"/>
        <w:spacing w:line="580" w:lineRule="exact"/>
        <w:ind w:firstLine="640"/>
        <w:rPr>
          <w:rFonts w:hAnsi="仿宋_GB2312" w:cs="仿宋_GB2312"/>
        </w:rPr>
      </w:pPr>
      <w:r>
        <w:rPr>
          <w:rFonts w:hint="eastAsia" w:hAnsi="仿宋_GB2312" w:cs="仿宋_GB2312"/>
        </w:rPr>
        <w:t>（</w:t>
      </w:r>
      <w:r>
        <w:rPr>
          <w:rFonts w:hAnsi="仿宋_GB2312" w:cs="仿宋_GB2312"/>
        </w:rPr>
        <w:t>3）设备（教具）清单。</w:t>
      </w:r>
    </w:p>
    <w:p>
      <w:pPr>
        <w:widowControl w:val="0"/>
        <w:spacing w:line="580" w:lineRule="exact"/>
        <w:ind w:firstLine="640"/>
        <w:rPr>
          <w:rFonts w:hAnsi="仿宋_GB2312" w:cs="仿宋_GB2312"/>
        </w:rPr>
      </w:pPr>
      <w:r>
        <w:rPr>
          <w:rFonts w:hint="eastAsia" w:hAnsi="楷体_GB2312" w:cs="楷体_GB2312"/>
        </w:rPr>
        <w:t>（二）受理。</w:t>
      </w:r>
      <w:r>
        <w:rPr>
          <w:rFonts w:hint="eastAsia" w:hAnsi="仿宋_GB2312" w:cs="仿宋_GB2312"/>
        </w:rPr>
        <w:t>申请机构所在地区残联核实申请材料并作出受理或不予受理决定。符合申请条件，且材料齐全、格式规范、符合办法规定的，予以受理；申请材料不齐全的，７个工作日内应当告知补充材料；不符合办法规定的，应于７个工作日内告知不予受理原因。</w:t>
      </w:r>
    </w:p>
    <w:p>
      <w:pPr>
        <w:widowControl w:val="0"/>
        <w:spacing w:line="580" w:lineRule="exact"/>
        <w:ind w:firstLine="640"/>
        <w:rPr>
          <w:rFonts w:hAnsi="仿宋_GB2312" w:cs="仿宋_GB2312"/>
        </w:rPr>
      </w:pPr>
      <w:r>
        <w:rPr>
          <w:rFonts w:hint="eastAsia" w:hAnsi="楷体_GB2312" w:cs="楷体_GB2312"/>
        </w:rPr>
        <w:t>（三）评审。</w:t>
      </w:r>
      <w:r>
        <w:rPr>
          <w:rFonts w:hint="eastAsia" w:hAnsi="仿宋_GB2312" w:cs="仿宋_GB2312"/>
        </w:rPr>
        <w:t>市残联受理机构申请材料后，应当组织专家集中进行实地评审。经实地评审符合条件的机构，</w:t>
      </w:r>
      <w:r>
        <w:rPr>
          <w:rFonts w:hint="eastAsia" w:hAnsi="楷体_GB2312" w:cs="楷体_GB2312"/>
        </w:rPr>
        <w:t>市残联应当在官方网站进行公示，公示期为</w:t>
      </w:r>
      <w:r>
        <w:rPr>
          <w:rFonts w:hAnsi="楷体_GB2312" w:cs="楷体_GB2312"/>
        </w:rPr>
        <w:t>7个工作日。</w:t>
      </w:r>
      <w:r>
        <w:rPr>
          <w:rFonts w:hint="eastAsia" w:hAnsi="仿宋_GB2312" w:cs="仿宋_GB2312"/>
        </w:rPr>
        <w:t>公示期结束无异议的，向最终认定的定点机构出具认定批复。</w:t>
      </w:r>
    </w:p>
    <w:p>
      <w:pPr>
        <w:widowControl w:val="0"/>
        <w:spacing w:line="580" w:lineRule="exact"/>
        <w:ind w:firstLine="640"/>
        <w:rPr>
          <w:rFonts w:hAnsi="仿宋_GB2312" w:cs="仿宋_GB2312"/>
        </w:rPr>
      </w:pPr>
      <w:r>
        <w:rPr>
          <w:rFonts w:hint="eastAsia" w:hAnsi="仿宋_GB2312" w:cs="仿宋_GB2312"/>
        </w:rPr>
        <w:t>（四）复审。没有通过评审的机构在</w:t>
      </w:r>
      <w:r>
        <w:rPr>
          <w:rFonts w:hAnsi="仿宋_GB2312" w:cs="仿宋_GB2312"/>
        </w:rPr>
        <w:t>30个工作日内，可以向残联组织申请复审。残联组织应当在收到复审申请之日起30个工作日内会同有关部门进行复核，作出是否通过审核的结论，并书面告知申请机构。</w:t>
      </w:r>
    </w:p>
    <w:p>
      <w:pPr>
        <w:widowControl w:val="0"/>
        <w:spacing w:line="580" w:lineRule="exact"/>
        <w:ind w:firstLine="640"/>
        <w:rPr>
          <w:rFonts w:hAnsi="仿宋_GB2312" w:cs="仿宋_GB2312"/>
        </w:rPr>
      </w:pPr>
      <w:r>
        <w:rPr>
          <w:rFonts w:hint="eastAsia" w:hAnsi="楷体_GB2312" w:cs="楷体_GB2312"/>
        </w:rPr>
        <w:t>（五）签订协议。</w:t>
      </w:r>
      <w:r>
        <w:rPr>
          <w:rFonts w:hint="eastAsia" w:hAnsi="仿宋_GB2312" w:cs="仿宋_GB2312"/>
        </w:rPr>
        <w:t>市残联与认定的定点机构签订定点服务协议；定点服务协议期不超过</w:t>
      </w:r>
      <w:r>
        <w:rPr>
          <w:rFonts w:hAnsi="仿宋_GB2312" w:cs="仿宋_GB2312"/>
        </w:rPr>
        <w:t>3年，协议有效期期满前</w:t>
      </w:r>
      <w:r>
        <w:rPr>
          <w:rFonts w:hint="eastAsia"/>
        </w:rPr>
        <w:t>２</w:t>
      </w:r>
      <w:r>
        <w:rPr>
          <w:rFonts w:hint="eastAsia" w:hAnsi="仿宋_GB2312" w:cs="仿宋_GB2312"/>
        </w:rPr>
        <w:t>个月内，相关机构可向市残联申请重新认定。相关机构获得定点资格满</w:t>
      </w:r>
      <w:r>
        <w:rPr>
          <w:rFonts w:hAnsi="仿宋_GB2312" w:cs="仿宋_GB2312"/>
        </w:rPr>
        <w:t>3年的，应当重新申请定点机构认定。市残联将定点机构名单报省残联备案，并及时更新定点机构名单，每季度在深圳残疾人网向社会公布。</w:t>
      </w:r>
    </w:p>
    <w:p>
      <w:pPr>
        <w:widowControl w:val="0"/>
        <w:spacing w:line="580" w:lineRule="exact"/>
        <w:ind w:firstLine="643"/>
        <w:rPr>
          <w:rFonts w:hAnsi="仿宋_GB2312" w:cs="仿宋_GB2312"/>
        </w:rPr>
      </w:pPr>
      <w:r>
        <w:rPr>
          <w:rFonts w:hint="eastAsia" w:hAnsi="仿宋_GB2312" w:cs="仿宋_GB2312"/>
          <w:b/>
          <w:bCs/>
        </w:rPr>
        <w:t>第七条</w:t>
      </w:r>
      <w:r>
        <w:rPr>
          <w:rFonts w:hAnsi="仿宋_GB2312" w:cs="仿宋_GB2312"/>
          <w:b/>
          <w:bCs/>
        </w:rPr>
        <w:t xml:space="preserve">  </w:t>
      </w:r>
      <w:r>
        <w:rPr>
          <w:rFonts w:hint="eastAsia" w:hAnsi="仿宋_GB2312" w:cs="仿宋_GB2312"/>
        </w:rPr>
        <w:t>市残联原则上每季度安排一次集中评审。参加评审的专家成员从评审专家库中按专业类别选取，每次评审不少于</w:t>
      </w:r>
      <w:r>
        <w:rPr>
          <w:rFonts w:hAnsi="仿宋_GB2312" w:cs="仿宋_GB2312"/>
        </w:rPr>
        <w:t>3名专家，评审采取上门实地评审方式，应当包括实地勘察、机构负责人演示及现场答疑、现场听课、查阅服务档案及相关资料等环节。</w:t>
      </w:r>
    </w:p>
    <w:p>
      <w:pPr>
        <w:widowControl w:val="0"/>
        <w:spacing w:line="580" w:lineRule="exact"/>
        <w:ind w:firstLine="643"/>
        <w:rPr>
          <w:rFonts w:hAnsi="仿宋_GB2312" w:cs="仿宋_GB2312"/>
        </w:rPr>
      </w:pPr>
      <w:r>
        <w:rPr>
          <w:rFonts w:hint="eastAsia" w:hAnsi="仿宋_GB2312" w:cs="仿宋_GB2312"/>
          <w:b/>
          <w:bCs/>
        </w:rPr>
        <w:t>第八条</w:t>
      </w:r>
      <w:r>
        <w:rPr>
          <w:rFonts w:hAnsi="仿宋_GB2312" w:cs="仿宋_GB2312"/>
          <w:b/>
          <w:bCs/>
        </w:rPr>
        <w:t xml:space="preserve">  </w:t>
      </w:r>
      <w:r>
        <w:rPr>
          <w:rFonts w:hint="eastAsia"/>
          <w:kern w:val="0"/>
        </w:rPr>
        <w:t>下列机构均可以直接认定为定点机构，而无需再经重新认定流程：</w:t>
      </w:r>
    </w:p>
    <w:p>
      <w:pPr>
        <w:widowControl w:val="0"/>
        <w:spacing w:line="580" w:lineRule="exact"/>
        <w:ind w:firstLine="640"/>
        <w:rPr>
          <w:rFonts w:hAnsi="仿宋_GB2312" w:cs="仿宋_GB2312"/>
        </w:rPr>
      </w:pPr>
      <w:r>
        <w:rPr>
          <w:rFonts w:hint="eastAsia" w:hAnsi="仿宋_GB2312" w:cs="仿宋_GB2312"/>
        </w:rPr>
        <w:t>（一）经中国残联、原国家卫生计生行政部门认定的听力残疾儿童定点康复机构、人工耳蜗康复救助项目定点手术医院；</w:t>
      </w:r>
    </w:p>
    <w:p>
      <w:pPr>
        <w:widowControl w:val="0"/>
        <w:spacing w:line="580" w:lineRule="exact"/>
        <w:ind w:firstLine="640"/>
        <w:rPr>
          <w:rFonts w:hAnsi="仿宋_GB2312" w:cs="仿宋_GB2312"/>
        </w:rPr>
      </w:pPr>
      <w:r>
        <w:rPr>
          <w:rFonts w:hint="eastAsia" w:hAnsi="仿宋_GB2312" w:cs="仿宋_GB2312"/>
        </w:rPr>
        <w:t>（二）省等级评审三级（含）以上的残疾儿童康复机构；</w:t>
      </w:r>
    </w:p>
    <w:p>
      <w:pPr>
        <w:widowControl w:val="0"/>
        <w:spacing w:line="580" w:lineRule="exact"/>
        <w:ind w:firstLine="640"/>
        <w:rPr>
          <w:rFonts w:hAnsi="仿宋_GB2312" w:cs="仿宋_GB2312"/>
        </w:rPr>
      </w:pPr>
      <w:r>
        <w:rPr>
          <w:rFonts w:hint="eastAsia" w:hAnsi="仿宋_GB2312" w:cs="仿宋_GB2312"/>
        </w:rPr>
        <w:t>（三）经省认定的各类定点康复机构。</w:t>
      </w:r>
    </w:p>
    <w:p>
      <w:pPr>
        <w:widowControl w:val="0"/>
        <w:spacing w:line="580" w:lineRule="exact"/>
        <w:ind w:firstLine="640"/>
        <w:rPr>
          <w:rFonts w:hAnsi="仿宋_GB2312" w:cs="仿宋_GB2312"/>
        </w:rPr>
      </w:pPr>
    </w:p>
    <w:p>
      <w:pPr>
        <w:widowControl w:val="0"/>
        <w:numPr>
          <w:ilvl w:val="0"/>
          <w:numId w:val="5"/>
        </w:numPr>
        <w:spacing w:line="580" w:lineRule="exact"/>
        <w:jc w:val="center"/>
        <w:rPr>
          <w:rFonts w:ascii="黑体" w:hAnsi="黑体" w:eastAsia="黑体" w:cs="黑体"/>
        </w:rPr>
      </w:pPr>
      <w:r>
        <w:rPr>
          <w:rFonts w:ascii="黑体" w:hAnsi="黑体" w:eastAsia="黑体" w:cs="黑体"/>
        </w:rPr>
        <w:t xml:space="preserve"> 定点机构服务规范                            </w:t>
      </w:r>
    </w:p>
    <w:p>
      <w:pPr>
        <w:widowControl w:val="0"/>
        <w:spacing w:line="580" w:lineRule="exact"/>
        <w:ind w:firstLine="640"/>
        <w:rPr>
          <w:rFonts w:hAnsi="黑体" w:cs="黑体"/>
        </w:rPr>
      </w:pPr>
    </w:p>
    <w:p>
      <w:pPr>
        <w:widowControl w:val="0"/>
        <w:spacing w:line="580" w:lineRule="exact"/>
        <w:ind w:firstLine="643"/>
        <w:rPr>
          <w:rFonts w:hAnsi="仿宋_GB2312" w:cs="仿宋_GB2312"/>
        </w:rPr>
      </w:pPr>
      <w:r>
        <w:rPr>
          <w:rFonts w:hint="eastAsia" w:hAnsi="仿宋_GB2312" w:cs="仿宋_GB2312"/>
          <w:b/>
          <w:bCs/>
        </w:rPr>
        <w:t>第九条</w:t>
      </w:r>
      <w:r>
        <w:rPr>
          <w:rFonts w:hAnsi="仿宋_GB2312" w:cs="仿宋_GB2312"/>
          <w:b/>
          <w:bCs/>
        </w:rPr>
        <w:t xml:space="preserve">  </w:t>
      </w:r>
      <w:r>
        <w:rPr>
          <w:rFonts w:hint="eastAsia" w:hAnsi="仿宋_GB2312" w:cs="仿宋_GB2312"/>
        </w:rPr>
        <w:t>服务对象或其监护人（代理人）自主选择定点机构进行康复，市、区残联应当对定点机构信息进行公示并定期更新，为服务对象或其监护人</w:t>
      </w:r>
      <w:r>
        <w:rPr>
          <w:rFonts w:hAnsi="仿宋_GB2312" w:cs="仿宋_GB2312"/>
        </w:rPr>
        <w:t>(代理人)选择定点机构提供便利。</w:t>
      </w:r>
    </w:p>
    <w:p>
      <w:pPr>
        <w:widowControl w:val="0"/>
        <w:spacing w:line="580" w:lineRule="exact"/>
        <w:ind w:firstLine="643"/>
        <w:rPr>
          <w:rFonts w:hAnsi="仿宋_GB2312" w:cs="仿宋_GB2312"/>
        </w:rPr>
      </w:pPr>
      <w:r>
        <w:rPr>
          <w:rFonts w:hint="eastAsia" w:hAnsi="仿宋_GB2312" w:cs="仿宋_GB2312"/>
          <w:b/>
          <w:bCs/>
        </w:rPr>
        <w:t>第十条</w:t>
      </w:r>
      <w:r>
        <w:rPr>
          <w:rFonts w:hAnsi="仿宋_GB2312" w:cs="仿宋_GB2312"/>
          <w:b/>
          <w:bCs/>
        </w:rPr>
        <w:t xml:space="preserve">  </w:t>
      </w:r>
      <w:r>
        <w:rPr>
          <w:rFonts w:hint="eastAsia" w:hAnsi="仿宋_GB2312" w:cs="仿宋_GB2312"/>
        </w:rPr>
        <w:t>定点机构须与服务对象或其监护人（代理人）签订具有法律效力、权责明晰的服务协议，服务协议须报区残联备案，并须载明下列事项：</w:t>
      </w:r>
    </w:p>
    <w:p>
      <w:pPr>
        <w:widowControl w:val="0"/>
        <w:spacing w:line="580" w:lineRule="exact"/>
        <w:ind w:firstLine="640"/>
        <w:rPr>
          <w:rFonts w:hAnsi="仿宋_GB2312" w:cs="仿宋_GB2312"/>
        </w:rPr>
      </w:pPr>
      <w:r>
        <w:rPr>
          <w:rFonts w:hint="eastAsia" w:hAnsi="仿宋_GB2312" w:cs="仿宋_GB2312"/>
        </w:rPr>
        <w:t>（一）定点机构的名称、地址、法定代表人或主要负责人、联系方式</w:t>
      </w:r>
      <w:r>
        <w:rPr>
          <w:rFonts w:hAnsi="仿宋_GB2312" w:cs="仿宋_GB2312"/>
        </w:rPr>
        <w:t>;</w:t>
      </w:r>
    </w:p>
    <w:p>
      <w:pPr>
        <w:widowControl w:val="0"/>
        <w:spacing w:line="580" w:lineRule="exact"/>
        <w:ind w:firstLine="640"/>
        <w:rPr>
          <w:rFonts w:hAnsi="仿宋_GB2312" w:cs="仿宋_GB2312"/>
        </w:rPr>
      </w:pPr>
      <w:r>
        <w:rPr>
          <w:rFonts w:hint="eastAsia" w:hAnsi="仿宋_GB2312" w:cs="仿宋_GB2312"/>
        </w:rPr>
        <w:t>（二）服务对象或其监护人（代理人）的姓名、住址、身份证明、联系方式</w:t>
      </w:r>
      <w:r>
        <w:rPr>
          <w:rFonts w:hAnsi="仿宋_GB2312" w:cs="仿宋_GB2312"/>
        </w:rPr>
        <w:t>;</w:t>
      </w:r>
    </w:p>
    <w:p>
      <w:pPr>
        <w:widowControl w:val="0"/>
        <w:spacing w:line="580" w:lineRule="exact"/>
        <w:ind w:firstLine="640"/>
        <w:rPr>
          <w:rFonts w:hAnsi="仿宋_GB2312" w:cs="仿宋_GB2312"/>
        </w:rPr>
      </w:pPr>
      <w:r>
        <w:rPr>
          <w:rFonts w:hint="eastAsia" w:hAnsi="仿宋_GB2312" w:cs="仿宋_GB2312"/>
        </w:rPr>
        <w:t>（三）服务内容和服务方式</w:t>
      </w:r>
      <w:r>
        <w:rPr>
          <w:rFonts w:hAnsi="仿宋_GB2312" w:cs="仿宋_GB2312"/>
        </w:rPr>
        <w:t>;　　</w:t>
      </w:r>
    </w:p>
    <w:p>
      <w:pPr>
        <w:widowControl w:val="0"/>
        <w:spacing w:line="580" w:lineRule="exact"/>
        <w:ind w:firstLine="640"/>
        <w:rPr>
          <w:rFonts w:hAnsi="仿宋_GB2312" w:cs="仿宋_GB2312"/>
        </w:rPr>
      </w:pPr>
      <w:r>
        <w:rPr>
          <w:rFonts w:hint="eastAsia" w:hAnsi="仿宋_GB2312" w:cs="仿宋_GB2312"/>
        </w:rPr>
        <w:t>（四）收费标准及费用支付方式</w:t>
      </w:r>
      <w:r>
        <w:rPr>
          <w:rFonts w:hAnsi="仿宋_GB2312" w:cs="仿宋_GB2312"/>
        </w:rPr>
        <w:t>;　</w:t>
      </w:r>
    </w:p>
    <w:p>
      <w:pPr>
        <w:widowControl w:val="0"/>
        <w:spacing w:line="580" w:lineRule="exact"/>
        <w:ind w:firstLine="640"/>
        <w:rPr>
          <w:rFonts w:hAnsi="仿宋_GB2312" w:cs="仿宋_GB2312"/>
        </w:rPr>
      </w:pPr>
      <w:r>
        <w:rPr>
          <w:rFonts w:hint="eastAsia" w:hAnsi="仿宋_GB2312" w:cs="仿宋_GB2312"/>
        </w:rPr>
        <w:t>（五）服务期限和地点</w:t>
      </w:r>
      <w:r>
        <w:rPr>
          <w:rFonts w:hAnsi="仿宋_GB2312" w:cs="仿宋_GB2312"/>
        </w:rPr>
        <w:t>;　</w:t>
      </w:r>
    </w:p>
    <w:p>
      <w:pPr>
        <w:widowControl w:val="0"/>
        <w:spacing w:line="580" w:lineRule="exact"/>
        <w:ind w:firstLine="640"/>
        <w:rPr>
          <w:rFonts w:hAnsi="仿宋_GB2312" w:cs="仿宋_GB2312"/>
        </w:rPr>
      </w:pPr>
      <w:r>
        <w:rPr>
          <w:rFonts w:hint="eastAsia" w:hAnsi="仿宋_GB2312" w:cs="仿宋_GB2312"/>
        </w:rPr>
        <w:t>（六）当事人的权利和义务</w:t>
      </w:r>
      <w:r>
        <w:rPr>
          <w:rFonts w:hAnsi="仿宋_GB2312" w:cs="仿宋_GB2312"/>
        </w:rPr>
        <w:t>;</w:t>
      </w:r>
    </w:p>
    <w:p>
      <w:pPr>
        <w:widowControl w:val="0"/>
        <w:spacing w:line="580" w:lineRule="exact"/>
        <w:ind w:firstLine="640"/>
        <w:rPr>
          <w:rFonts w:hAnsi="仿宋_GB2312" w:cs="仿宋_GB2312"/>
        </w:rPr>
      </w:pPr>
      <w:r>
        <w:rPr>
          <w:rFonts w:hint="eastAsia" w:hAnsi="仿宋_GB2312" w:cs="仿宋_GB2312"/>
        </w:rPr>
        <w:t>（七）协议变更、解除与终止的条件</w:t>
      </w:r>
      <w:r>
        <w:rPr>
          <w:rFonts w:hAnsi="仿宋_GB2312" w:cs="仿宋_GB2312"/>
        </w:rPr>
        <w:t>;</w:t>
      </w:r>
    </w:p>
    <w:p>
      <w:pPr>
        <w:widowControl w:val="0"/>
        <w:spacing w:line="580" w:lineRule="exact"/>
        <w:ind w:firstLine="640"/>
        <w:rPr>
          <w:rFonts w:hAnsi="仿宋_GB2312" w:cs="仿宋_GB2312"/>
        </w:rPr>
      </w:pPr>
      <w:r>
        <w:rPr>
          <w:rFonts w:hint="eastAsia" w:hAnsi="仿宋_GB2312" w:cs="仿宋_GB2312"/>
        </w:rPr>
        <w:t>（八）违约责任</w:t>
      </w:r>
      <w:r>
        <w:rPr>
          <w:rFonts w:hAnsi="仿宋_GB2312" w:cs="仿宋_GB2312"/>
        </w:rPr>
        <w:t>;</w:t>
      </w:r>
    </w:p>
    <w:p>
      <w:pPr>
        <w:widowControl w:val="0"/>
        <w:spacing w:line="580" w:lineRule="exact"/>
        <w:ind w:firstLine="640"/>
        <w:rPr>
          <w:rFonts w:hAnsi="仿宋_GB2312" w:cs="仿宋_GB2312"/>
        </w:rPr>
      </w:pPr>
      <w:r>
        <w:rPr>
          <w:rFonts w:hint="eastAsia" w:hAnsi="仿宋_GB2312" w:cs="仿宋_GB2312"/>
        </w:rPr>
        <w:t>（九）争议解决方式</w:t>
      </w:r>
      <w:r>
        <w:rPr>
          <w:rFonts w:hAnsi="仿宋_GB2312" w:cs="仿宋_GB2312"/>
        </w:rPr>
        <w:t>;　</w:t>
      </w:r>
    </w:p>
    <w:p>
      <w:pPr>
        <w:widowControl w:val="0"/>
        <w:spacing w:line="580" w:lineRule="exact"/>
        <w:ind w:firstLine="640"/>
        <w:rPr>
          <w:rFonts w:hAnsi="仿宋_GB2312" w:cs="仿宋_GB2312"/>
        </w:rPr>
      </w:pPr>
      <w:r>
        <w:rPr>
          <w:rFonts w:hint="eastAsia" w:hAnsi="仿宋_GB2312" w:cs="仿宋_GB2312"/>
        </w:rPr>
        <w:t>（十）当事人协商一致的其他合法内容。</w:t>
      </w:r>
    </w:p>
    <w:p>
      <w:pPr>
        <w:pStyle w:val="86"/>
        <w:widowControl w:val="0"/>
        <w:ind w:firstLine="643"/>
        <w:rPr>
          <w:rFonts w:ascii="仿宋_GB2312" w:hAnsi="仿宋_GB2312" w:cs="仿宋_GB2312"/>
          <w:strike/>
          <w:szCs w:val="32"/>
        </w:rPr>
      </w:pPr>
      <w:r>
        <w:rPr>
          <w:rFonts w:hint="eastAsia" w:ascii="仿宋_GB2312" w:hAnsi="仿宋_GB2312" w:cs="仿宋_GB2312"/>
          <w:b/>
          <w:bCs/>
          <w:szCs w:val="32"/>
        </w:rPr>
        <w:t>第十一条</w:t>
      </w:r>
      <w:r>
        <w:rPr>
          <w:rFonts w:ascii="仿宋_GB2312" w:hAnsi="仿宋_GB2312" w:cs="仿宋_GB2312"/>
          <w:b/>
          <w:bCs/>
          <w:szCs w:val="32"/>
        </w:rPr>
        <w:t xml:space="preserve">  </w:t>
      </w:r>
      <w:r>
        <w:rPr>
          <w:rFonts w:hint="eastAsia" w:ascii="仿宋_GB2312" w:hAnsi="仿宋_GB2312" w:cs="仿宋_GB2312"/>
          <w:szCs w:val="32"/>
        </w:rPr>
        <w:t>定点机构应当依据机构运营和康复护理服务成本、合理收益、社会承受能力及其他相关因素制订收费标准，并在醒目位置公示各类服务项目收费标准和收费依据。制定收费标准须遵守国家和地方政府价格管理的有关规定。</w:t>
      </w:r>
    </w:p>
    <w:p>
      <w:pPr>
        <w:pStyle w:val="86"/>
        <w:widowControl w:val="0"/>
        <w:ind w:firstLine="643"/>
        <w:rPr>
          <w:rFonts w:ascii="仿宋_GB2312" w:hAnsi="仿宋_GB2312" w:cs="仿宋_GB2312"/>
          <w:szCs w:val="32"/>
        </w:rPr>
      </w:pPr>
      <w:r>
        <w:rPr>
          <w:rFonts w:hint="eastAsia" w:ascii="仿宋_GB2312" w:hAnsi="仿宋_GB2312" w:cs="仿宋_GB2312"/>
          <w:b/>
          <w:bCs/>
          <w:szCs w:val="32"/>
        </w:rPr>
        <w:t>第十二条</w:t>
      </w:r>
      <w:r>
        <w:rPr>
          <w:rFonts w:ascii="仿宋_GB2312" w:hAnsi="仿宋_GB2312" w:cs="仿宋_GB2312"/>
          <w:b/>
          <w:bCs/>
          <w:szCs w:val="32"/>
        </w:rPr>
        <w:t xml:space="preserve">  </w:t>
      </w:r>
      <w:r>
        <w:rPr>
          <w:rFonts w:hint="eastAsia" w:ascii="仿宋_GB2312" w:hAnsi="仿宋_GB2312" w:cs="仿宋_GB2312"/>
          <w:szCs w:val="32"/>
        </w:rPr>
        <w:t>定点机构自行开展超出我市残疾儿童康复救助政策范围的服务项目所产生的服务费用，不纳入康复项目经费补贴范围。</w:t>
      </w:r>
    </w:p>
    <w:p>
      <w:pPr>
        <w:pStyle w:val="86"/>
        <w:widowControl w:val="0"/>
        <w:ind w:firstLine="643"/>
        <w:rPr>
          <w:rFonts w:ascii="仿宋_GB2312" w:hAnsi="仿宋_GB2312" w:cs="仿宋_GB2312"/>
          <w:szCs w:val="32"/>
        </w:rPr>
      </w:pPr>
      <w:r>
        <w:rPr>
          <w:rFonts w:hint="eastAsia" w:ascii="仿宋_GB2312" w:hAnsi="仿宋_GB2312" w:cs="仿宋_GB2312"/>
          <w:b/>
          <w:bCs/>
          <w:szCs w:val="32"/>
        </w:rPr>
        <w:t>第十三条</w:t>
      </w:r>
      <w:r>
        <w:rPr>
          <w:rFonts w:ascii="仿宋_GB2312" w:hAnsi="仿宋_GB2312" w:cs="仿宋_GB2312"/>
          <w:b/>
          <w:bCs/>
          <w:szCs w:val="32"/>
        </w:rPr>
        <w:t xml:space="preserve">  </w:t>
      </w:r>
      <w:r>
        <w:rPr>
          <w:rFonts w:hint="eastAsia" w:ascii="仿宋_GB2312" w:hAnsi="仿宋_GB2312" w:cs="仿宋_GB2312"/>
          <w:szCs w:val="32"/>
        </w:rPr>
        <w:t>定点机构应当遵循以下规定，为服务对象提供相应的康复服务：</w:t>
      </w:r>
    </w:p>
    <w:p>
      <w:pPr>
        <w:widowControl w:val="0"/>
        <w:spacing w:line="580" w:lineRule="exact"/>
        <w:ind w:firstLine="640"/>
        <w:rPr>
          <w:rFonts w:hAnsi="仿宋_GB2312" w:cs="仿宋_GB2312"/>
        </w:rPr>
      </w:pPr>
      <w:r>
        <w:rPr>
          <w:rFonts w:hint="eastAsia" w:hAnsi="仿宋_GB2312" w:cs="仿宋_GB2312"/>
        </w:rPr>
        <w:t>（一）开展服务对象康复需求评估，并根据残疾类型、残疾等级和评估结果制定合适的康复方案。对康复效果定期评估，及时调整优化康复方案。康复方案的制定和调整，应当充分听取、尊重服务对象或其监护人（代理人）的意见，告知康复措施的详细信息；</w:t>
      </w:r>
    </w:p>
    <w:p>
      <w:pPr>
        <w:widowControl w:val="0"/>
        <w:spacing w:line="580" w:lineRule="exact"/>
        <w:ind w:firstLine="640"/>
        <w:rPr>
          <w:rFonts w:hAnsi="仿宋_GB2312" w:cs="仿宋_GB2312"/>
        </w:rPr>
      </w:pPr>
      <w:r>
        <w:rPr>
          <w:rFonts w:hint="eastAsia" w:hAnsi="仿宋_GB2312" w:cs="仿宋_GB2312"/>
        </w:rPr>
        <w:t>（二）根据结算要求主动向服务对象提供财税部门专业票据、费用明细清单等。因政策等原因不能提供相关票据的，需提供康复服务清单及费用安排等开展服务有效凭证，配合残联对服务对象享受康复服务及服务结算费用进行管理；</w:t>
      </w:r>
    </w:p>
    <w:p>
      <w:pPr>
        <w:widowControl w:val="0"/>
        <w:spacing w:line="580" w:lineRule="exact"/>
        <w:ind w:firstLine="640"/>
        <w:rPr>
          <w:rFonts w:hAnsi="仿宋_GB2312" w:cs="仿宋_GB2312"/>
        </w:rPr>
      </w:pPr>
      <w:r>
        <w:rPr>
          <w:rFonts w:hint="eastAsia" w:hAnsi="仿宋_GB2312" w:cs="仿宋_GB2312"/>
        </w:rPr>
        <w:t>（三）配合残联开展康复服务调查和考核评估工作，做好康复服务对象资料的填报工作，定期汇总本机构开展康复服务的情况，并将相关情况报送市、区残联；</w:t>
      </w:r>
    </w:p>
    <w:p>
      <w:pPr>
        <w:widowControl w:val="0"/>
        <w:spacing w:line="580" w:lineRule="exact"/>
        <w:ind w:firstLine="640"/>
        <w:rPr>
          <w:rFonts w:hAnsi="仿宋_GB2312" w:cs="仿宋_GB2312"/>
        </w:rPr>
      </w:pPr>
      <w:r>
        <w:rPr>
          <w:rFonts w:hint="eastAsia" w:hAnsi="仿宋_GB2312" w:cs="仿宋_GB2312"/>
        </w:rPr>
        <w:t>（四）在服务场所醒目位置公开服务内容、收费标准、服务人员岗位职责、机构管理等信息；</w:t>
      </w:r>
    </w:p>
    <w:p>
      <w:pPr>
        <w:widowControl w:val="0"/>
        <w:spacing w:line="580" w:lineRule="exact"/>
        <w:ind w:firstLine="640"/>
        <w:rPr>
          <w:rFonts w:hAnsi="仿宋_GB2312" w:cs="仿宋_GB2312"/>
        </w:rPr>
      </w:pPr>
      <w:r>
        <w:rPr>
          <w:rFonts w:hint="eastAsia" w:hAnsi="仿宋_GB2312" w:cs="仿宋_GB2312"/>
        </w:rPr>
        <w:t>（五）协助残联开展康复救助政策解读和宣传工作，帮助服务对象知晓残疾儿童康复救助政策，告知其康复救助申请程序和要求；</w:t>
      </w:r>
    </w:p>
    <w:p>
      <w:pPr>
        <w:pStyle w:val="86"/>
        <w:widowControl w:val="0"/>
        <w:ind w:firstLine="640"/>
        <w:rPr>
          <w:rFonts w:ascii="仿宋_GB2312" w:hAnsi="仿宋_GB2312" w:cs="仿宋_GB2312"/>
          <w:szCs w:val="32"/>
        </w:rPr>
      </w:pPr>
      <w:r>
        <w:rPr>
          <w:rFonts w:hint="eastAsia" w:ascii="仿宋_GB2312" w:hAnsi="仿宋_GB2312" w:cs="仿宋_GB2312"/>
          <w:szCs w:val="32"/>
        </w:rPr>
        <w:t>（六）为服务对象按规范建立个人康复档案，包括需求评估及结果、康复方案、康复过程及效果描述等相关资料；</w:t>
      </w:r>
    </w:p>
    <w:p>
      <w:pPr>
        <w:widowControl w:val="0"/>
        <w:spacing w:line="580" w:lineRule="exact"/>
        <w:ind w:firstLine="640"/>
        <w:rPr>
          <w:rFonts w:hAnsi="仿宋_GB2312" w:cs="仿宋_GB2312"/>
        </w:rPr>
      </w:pPr>
      <w:r>
        <w:rPr>
          <w:rFonts w:hint="eastAsia" w:hAnsi="仿宋_GB2312" w:cs="仿宋_GB2312"/>
        </w:rPr>
        <w:t>（七）为有需要的残疾人及其家属提供情绪疏导、心理咨询、危机干预等精神慰藉服务；</w:t>
      </w:r>
    </w:p>
    <w:p>
      <w:pPr>
        <w:widowControl w:val="0"/>
        <w:spacing w:line="580" w:lineRule="exact"/>
        <w:ind w:firstLine="640"/>
        <w:rPr>
          <w:rFonts w:hAnsi="仿宋_GB2312" w:cs="仿宋_GB2312"/>
        </w:rPr>
      </w:pPr>
      <w:r>
        <w:rPr>
          <w:rFonts w:hint="eastAsia" w:hAnsi="仿宋_GB2312" w:cs="仿宋_GB2312"/>
        </w:rPr>
        <w:t>（八）提供必要的安全防护措施；</w:t>
      </w:r>
      <w:r>
        <w:rPr>
          <w:rFonts w:hAnsi="仿宋_GB2312" w:cs="仿宋_GB2312"/>
        </w:rPr>
        <w:t xml:space="preserve">   </w:t>
      </w:r>
    </w:p>
    <w:p>
      <w:pPr>
        <w:widowControl w:val="0"/>
        <w:spacing w:line="580" w:lineRule="exact"/>
        <w:ind w:firstLine="640"/>
        <w:rPr>
          <w:rFonts w:hAnsi="仿宋_GB2312" w:cs="仿宋_GB2312"/>
        </w:rPr>
      </w:pPr>
      <w:r>
        <w:rPr>
          <w:rFonts w:hint="eastAsia" w:hAnsi="仿宋_GB2312" w:cs="仿宋_GB2312"/>
        </w:rPr>
        <w:t>（九）在提供服务的过程中，注意保护服务对象隐私，尊重服务对象民族风俗习惯，保障服务对象人格尊严和合法权益；</w:t>
      </w:r>
    </w:p>
    <w:p>
      <w:pPr>
        <w:widowControl w:val="0"/>
        <w:spacing w:line="580" w:lineRule="exact"/>
        <w:ind w:firstLine="640"/>
        <w:rPr>
          <w:rFonts w:hAnsi="仿宋_GB2312" w:cs="仿宋_GB2312"/>
        </w:rPr>
      </w:pPr>
      <w:r>
        <w:rPr>
          <w:rFonts w:hint="eastAsia" w:hAnsi="仿宋_GB2312" w:cs="仿宋_GB2312"/>
        </w:rPr>
        <w:t>（十）定点机构在定点服务有效期内原则上避免分立、合并，确须分立、合并或服务项目、服务对象、服务规模、地址等发生变化的，应当重新办理定点机构认定手续；定点机构发生停业、被撤销或关闭的，应当办理取消定点手续。</w:t>
      </w:r>
    </w:p>
    <w:p>
      <w:pPr>
        <w:widowControl w:val="0"/>
        <w:spacing w:line="580" w:lineRule="exact"/>
        <w:ind w:firstLine="643"/>
        <w:rPr>
          <w:rFonts w:hAnsi="仿宋_GB2312" w:cs="仿宋_GB2312"/>
        </w:rPr>
      </w:pPr>
      <w:r>
        <w:rPr>
          <w:rFonts w:hint="eastAsia" w:hAnsi="仿宋_GB2312" w:cs="仿宋_GB2312"/>
          <w:b/>
          <w:bCs/>
        </w:rPr>
        <w:t>第十四条</w:t>
      </w:r>
      <w:r>
        <w:rPr>
          <w:rFonts w:hAnsi="仿宋_GB2312" w:cs="仿宋_GB2312"/>
          <w:b/>
          <w:bCs/>
        </w:rPr>
        <w:t xml:space="preserve">  </w:t>
      </w:r>
      <w:r>
        <w:rPr>
          <w:rFonts w:hint="eastAsia" w:hAnsi="仿宋_GB2312" w:cs="仿宋_GB2312"/>
        </w:rPr>
        <w:t>定点机构名称、所有制性质、法定代表人等发生变化时，应当在变化后</w:t>
      </w:r>
      <w:r>
        <w:rPr>
          <w:rFonts w:hAnsi="仿宋_GB2312" w:cs="仿宋_GB2312"/>
        </w:rPr>
        <w:t>15个工作日内，持书面变更申请、有关文件原件及复印件，向市残联申请办理变更手续。</w:t>
      </w:r>
    </w:p>
    <w:p>
      <w:pPr>
        <w:widowControl w:val="0"/>
        <w:spacing w:line="580" w:lineRule="exact"/>
        <w:ind w:firstLine="643"/>
        <w:rPr>
          <w:rFonts w:hAnsi="仿宋_GB2312" w:cs="仿宋_GB2312"/>
        </w:rPr>
      </w:pPr>
      <w:r>
        <w:rPr>
          <w:rFonts w:hint="eastAsia" w:hAnsi="仿宋_GB2312" w:cs="仿宋_GB2312"/>
          <w:b/>
          <w:bCs/>
        </w:rPr>
        <w:t>第十五条</w:t>
      </w:r>
      <w:r>
        <w:rPr>
          <w:rFonts w:hAnsi="仿宋_GB2312" w:cs="仿宋_GB2312"/>
        </w:rPr>
        <w:t xml:space="preserve">  定点机构服务场所装修的，应报市残联同意并申请保留定点服务资格，装修时间不超过6个月。在期限内完成装修的，应当提交恢复定点服务的申请，经市残联复核合格后方能恢复定点服务；在规定期限内未能装修完成的，须提前10天向市残联提出延期申请，延期时间最长不超过3个月。</w:t>
      </w:r>
    </w:p>
    <w:p>
      <w:pPr>
        <w:widowControl w:val="0"/>
        <w:spacing w:line="580" w:lineRule="exact"/>
        <w:ind w:firstLine="643"/>
        <w:rPr>
          <w:rFonts w:hAnsi="仿宋_GB2312" w:cs="仿宋_GB2312"/>
        </w:rPr>
      </w:pPr>
      <w:r>
        <w:rPr>
          <w:rFonts w:hint="eastAsia" w:hAnsi="仿宋_GB2312" w:cs="仿宋_GB2312"/>
          <w:b/>
          <w:bCs/>
        </w:rPr>
        <w:t>第十六条</w:t>
      </w:r>
      <w:r>
        <w:rPr>
          <w:rFonts w:hAnsi="仿宋_GB2312" w:cs="仿宋_GB2312"/>
          <w:b/>
          <w:bCs/>
        </w:rPr>
        <w:t xml:space="preserve">  </w:t>
      </w:r>
      <w:r>
        <w:rPr>
          <w:rFonts w:hint="eastAsia" w:hAnsi="仿宋_GB2312" w:cs="仿宋_GB2312"/>
        </w:rPr>
        <w:t>定点机构自主放弃或退出定点服务的，应当及时以书面形式报告市残联，并妥善安排服务对象康复衔接工作，积极配合行业管理部门、残联组织做好注销登记、费用结算等工作。</w:t>
      </w:r>
    </w:p>
    <w:p>
      <w:pPr>
        <w:widowControl w:val="0"/>
        <w:spacing w:line="580" w:lineRule="exact"/>
        <w:ind w:firstLine="643"/>
        <w:rPr>
          <w:rFonts w:hAnsi="仿宋_GB2312" w:cs="仿宋_GB2312"/>
        </w:rPr>
      </w:pPr>
      <w:r>
        <w:rPr>
          <w:rFonts w:hint="eastAsia" w:hAnsi="仿宋_GB2312" w:cs="仿宋_GB2312"/>
          <w:b/>
          <w:bCs/>
        </w:rPr>
        <w:t>第十七条</w:t>
      </w:r>
      <w:r>
        <w:rPr>
          <w:rFonts w:hAnsi="仿宋_GB2312" w:cs="仿宋_GB2312"/>
          <w:b/>
          <w:bCs/>
        </w:rPr>
        <w:t xml:space="preserve">  </w:t>
      </w:r>
      <w:r>
        <w:rPr>
          <w:rFonts w:hint="eastAsia" w:hAnsi="仿宋_GB2312" w:cs="仿宋_GB2312"/>
        </w:rPr>
        <w:t>定点机构违反本办法有关规定的，由市残联给予书面告诫，责令限期整改。定点机构出现下列行为，且在规定时间内整改不合格的，由认定部门取消其定点资格，禁止承接我市残疾儿童康复救助项目，并将其违法违规线索移交行业管理部门依法查处。有关责任人构成犯罪的，依法追究刑事责任。</w:t>
      </w:r>
    </w:p>
    <w:p>
      <w:pPr>
        <w:widowControl w:val="0"/>
        <w:spacing w:line="580" w:lineRule="exact"/>
        <w:ind w:firstLine="640"/>
        <w:rPr>
          <w:rFonts w:hAnsi="仿宋_GB2312" w:cs="仿宋_GB2312"/>
        </w:rPr>
      </w:pPr>
      <w:r>
        <w:rPr>
          <w:rFonts w:hint="eastAsia" w:hAnsi="仿宋_GB2312" w:cs="仿宋_GB2312"/>
        </w:rPr>
        <w:t>（一）抗拒行业管理部门和残联组织的指导、监督和管理，扰乱康复救助工作秩序；</w:t>
      </w:r>
    </w:p>
    <w:p>
      <w:pPr>
        <w:widowControl w:val="0"/>
        <w:spacing w:line="580" w:lineRule="exact"/>
        <w:ind w:firstLine="640"/>
        <w:rPr>
          <w:rFonts w:hAnsi="仿宋_GB2312" w:cs="仿宋_GB2312"/>
        </w:rPr>
      </w:pPr>
      <w:r>
        <w:rPr>
          <w:rFonts w:hint="eastAsia" w:hAnsi="仿宋_GB2312" w:cs="仿宋_GB2312"/>
        </w:rPr>
        <w:t>（二）除不可抗力因素外，超过</w:t>
      </w:r>
      <w:r>
        <w:rPr>
          <w:rFonts w:hAnsi="仿宋_GB2312" w:cs="仿宋_GB2312"/>
        </w:rPr>
        <w:t>6个月未开展服务的；</w:t>
      </w:r>
    </w:p>
    <w:p>
      <w:pPr>
        <w:widowControl w:val="0"/>
        <w:spacing w:line="580" w:lineRule="exact"/>
        <w:ind w:firstLine="640"/>
        <w:rPr>
          <w:rFonts w:hAnsi="仿宋_GB2312" w:cs="仿宋_GB2312"/>
        </w:rPr>
      </w:pPr>
      <w:r>
        <w:rPr>
          <w:rFonts w:hint="eastAsia" w:hAnsi="仿宋_GB2312" w:cs="仿宋_GB2312"/>
        </w:rPr>
        <w:t>（三）违规要求服务对象垫付康复救助费用、要求服务对象缴纳不合理费用或胁迫其接受项目外的康复服务；</w:t>
      </w:r>
    </w:p>
    <w:p>
      <w:pPr>
        <w:widowControl w:val="0"/>
        <w:spacing w:line="580" w:lineRule="exact"/>
        <w:ind w:firstLine="640"/>
        <w:rPr>
          <w:rFonts w:hAnsi="仿宋_GB2312" w:cs="仿宋_GB2312"/>
        </w:rPr>
      </w:pPr>
      <w:r>
        <w:rPr>
          <w:rFonts w:hint="eastAsia" w:hAnsi="仿宋_GB2312" w:cs="仿宋_GB2312"/>
        </w:rPr>
        <w:t>（四）安排服务对象在未取得定点资格的机构（分支机构）或场所进行康复训练，违规向区残联申请报销康复救助费用；</w:t>
      </w:r>
    </w:p>
    <w:p>
      <w:pPr>
        <w:widowControl w:val="0"/>
        <w:spacing w:line="580" w:lineRule="exact"/>
        <w:ind w:firstLine="640"/>
        <w:rPr>
          <w:rFonts w:hAnsi="仿宋_GB2312" w:cs="仿宋_GB2312"/>
        </w:rPr>
      </w:pPr>
      <w:r>
        <w:rPr>
          <w:rFonts w:hint="eastAsia" w:hAnsi="仿宋_GB2312" w:cs="仿宋_GB2312"/>
        </w:rPr>
        <w:t>（五）存在歧视、侮辱、虐待或者遗弃残疾儿童及其他侵犯残疾儿童合法权益行为；</w:t>
      </w:r>
    </w:p>
    <w:p>
      <w:pPr>
        <w:widowControl w:val="0"/>
        <w:spacing w:line="580" w:lineRule="exact"/>
        <w:ind w:firstLine="640"/>
        <w:rPr>
          <w:rFonts w:hAnsi="仿宋_GB2312" w:cs="仿宋_GB2312"/>
        </w:rPr>
      </w:pPr>
      <w:r>
        <w:rPr>
          <w:rFonts w:hint="eastAsia" w:hAnsi="仿宋_GB2312" w:cs="仿宋_GB2312"/>
        </w:rPr>
        <w:t>（六）在消防、食品卫生、水电煤气使用及教学环境等方面存在严重安全隐患的；</w:t>
      </w:r>
    </w:p>
    <w:p>
      <w:pPr>
        <w:widowControl w:val="0"/>
        <w:spacing w:line="580" w:lineRule="exact"/>
        <w:ind w:firstLine="640"/>
        <w:rPr>
          <w:rFonts w:hAnsi="仿宋_GB2312" w:cs="仿宋_GB2312"/>
        </w:rPr>
      </w:pPr>
      <w:r>
        <w:rPr>
          <w:rFonts w:hint="eastAsia" w:hAnsi="仿宋_GB2312" w:cs="仿宋_GB2312"/>
        </w:rPr>
        <w:t>（七）弄虚作假，开具虚假证明、虚假服务记录、虚假票据等虚假凭证的；</w:t>
      </w:r>
    </w:p>
    <w:p>
      <w:pPr>
        <w:widowControl w:val="0"/>
        <w:spacing w:line="580" w:lineRule="exact"/>
        <w:ind w:firstLine="640"/>
        <w:rPr>
          <w:rFonts w:hAnsi="仿宋_GB2312" w:cs="仿宋_GB2312"/>
        </w:rPr>
      </w:pPr>
      <w:r>
        <w:rPr>
          <w:rFonts w:hint="eastAsia" w:hAnsi="仿宋_GB2312" w:cs="仿宋_GB2312"/>
        </w:rPr>
        <w:t>（八）存在法律、法规、规章规定的其他违法行为。</w:t>
      </w:r>
    </w:p>
    <w:p>
      <w:pPr>
        <w:widowControl w:val="0"/>
        <w:spacing w:line="580" w:lineRule="exact"/>
        <w:ind w:firstLine="640"/>
        <w:rPr>
          <w:rFonts w:hAnsi="仿宋_GB2312" w:cs="仿宋_GB2312"/>
        </w:rPr>
      </w:pPr>
      <w:r>
        <w:rPr>
          <w:rFonts w:hAnsi="仿宋_GB2312" w:cs="仿宋_GB2312"/>
        </w:rPr>
        <w:t xml:space="preserve">   </w:t>
      </w:r>
    </w:p>
    <w:p>
      <w:pPr>
        <w:widowControl w:val="0"/>
        <w:numPr>
          <w:ilvl w:val="0"/>
          <w:numId w:val="6"/>
        </w:numPr>
        <w:spacing w:line="580" w:lineRule="exact"/>
        <w:jc w:val="center"/>
        <w:rPr>
          <w:rFonts w:ascii="黑体" w:hAnsi="黑体" w:eastAsia="黑体" w:cs="黑体"/>
        </w:rPr>
      </w:pPr>
      <w:r>
        <w:rPr>
          <w:rFonts w:ascii="黑体" w:hAnsi="黑体" w:eastAsia="黑体" w:cs="黑体"/>
        </w:rPr>
        <w:t xml:space="preserve"> 保障措施</w:t>
      </w:r>
    </w:p>
    <w:p>
      <w:pPr>
        <w:widowControl w:val="0"/>
        <w:spacing w:line="580" w:lineRule="exact"/>
        <w:ind w:firstLine="640"/>
        <w:rPr>
          <w:rFonts w:hAnsi="黑体" w:cs="黑体"/>
        </w:rPr>
      </w:pPr>
    </w:p>
    <w:p>
      <w:pPr>
        <w:widowControl w:val="0"/>
        <w:spacing w:line="580" w:lineRule="exact"/>
        <w:ind w:firstLine="643"/>
        <w:rPr>
          <w:rFonts w:hAnsi="仿宋_GB2312" w:cs="仿宋_GB2312"/>
        </w:rPr>
      </w:pPr>
      <w:r>
        <w:rPr>
          <w:rFonts w:hint="eastAsia" w:hAnsi="仿宋_GB2312" w:cs="仿宋_GB2312"/>
          <w:b/>
          <w:bCs/>
        </w:rPr>
        <w:t>第十八条</w:t>
      </w:r>
      <w:r>
        <w:rPr>
          <w:rFonts w:hAnsi="仿宋_GB2312" w:cs="仿宋_GB2312"/>
          <w:b/>
          <w:bCs/>
        </w:rPr>
        <w:t xml:space="preserve">  </w:t>
      </w:r>
      <w:r>
        <w:rPr>
          <w:rFonts w:hint="eastAsia" w:hAnsi="仿宋_GB2312" w:cs="仿宋_GB2312"/>
        </w:rPr>
        <w:t>市残联会同市民政、卫生健康、教育、市场监督管理等部门，成立领导小组，负责统筹协调全市定点机构管理监督工作。</w:t>
      </w:r>
    </w:p>
    <w:p>
      <w:pPr>
        <w:widowControl w:val="0"/>
        <w:spacing w:line="580" w:lineRule="exact"/>
        <w:ind w:firstLine="643"/>
        <w:rPr>
          <w:rFonts w:hAnsi="仿宋_GB2312" w:cs="仿宋_GB2312"/>
        </w:rPr>
      </w:pPr>
      <w:r>
        <w:rPr>
          <w:rFonts w:hint="eastAsia" w:hAnsi="仿宋_GB2312" w:cs="仿宋_GB2312"/>
          <w:b/>
          <w:bCs/>
        </w:rPr>
        <w:t>第十九条</w:t>
      </w:r>
      <w:r>
        <w:rPr>
          <w:rFonts w:hAnsi="仿宋_GB2312" w:cs="仿宋_GB2312"/>
          <w:b/>
          <w:bCs/>
        </w:rPr>
        <w:t xml:space="preserve">  </w:t>
      </w:r>
      <w:r>
        <w:rPr>
          <w:rFonts w:hint="eastAsia" w:hAnsi="仿宋_GB2312" w:cs="仿宋_GB2312"/>
        </w:rPr>
        <w:t>市残联会同市民政、卫生健康等部门，共同组建肢体、智力、精神、视力、听力言语等残疾类别的康复服务专家技术指导组。市残联负责专家技术指导组日常协调与管理，根据需要，安排专家组成员参加定点机构评审、技术培训、专业督导和绩效评估等工作，并按照规定支付专家费。</w:t>
      </w:r>
    </w:p>
    <w:p>
      <w:pPr>
        <w:widowControl w:val="0"/>
        <w:spacing w:line="580" w:lineRule="exact"/>
        <w:ind w:firstLine="643"/>
        <w:rPr>
          <w:rFonts w:hAnsi="仿宋_GB2312" w:cs="仿宋_GB2312"/>
        </w:rPr>
      </w:pPr>
      <w:r>
        <w:rPr>
          <w:rFonts w:hint="eastAsia" w:hAnsi="仿宋_GB2312" w:cs="仿宋_GB2312"/>
          <w:b/>
          <w:bCs/>
        </w:rPr>
        <w:t>第二十条</w:t>
      </w:r>
      <w:r>
        <w:rPr>
          <w:rFonts w:hAnsi="仿宋_GB2312" w:cs="仿宋_GB2312"/>
          <w:b/>
          <w:bCs/>
        </w:rPr>
        <w:t xml:space="preserve">  </w:t>
      </w:r>
      <w:r>
        <w:rPr>
          <w:rFonts w:hint="eastAsia" w:hAnsi="仿宋_GB2312" w:cs="仿宋_GB2312"/>
        </w:rPr>
        <w:t>市残联及相关行业管理部门根据需要组织开展定点机构政策宣导、人员培训、调查研究、标准推广应用以及服务试点等工作。</w:t>
      </w:r>
    </w:p>
    <w:p>
      <w:pPr>
        <w:widowControl w:val="0"/>
        <w:spacing w:line="580" w:lineRule="exact"/>
        <w:ind w:firstLine="643"/>
        <w:rPr>
          <w:rFonts w:hAnsi="仿宋_GB2312" w:cs="仿宋_GB2312"/>
        </w:rPr>
      </w:pPr>
      <w:r>
        <w:rPr>
          <w:rFonts w:hint="eastAsia" w:hAnsi="仿宋_GB2312" w:cs="仿宋_GB2312"/>
          <w:b/>
          <w:bCs/>
        </w:rPr>
        <w:t>第二十一条</w:t>
      </w:r>
      <w:r>
        <w:rPr>
          <w:rFonts w:hAnsi="仿宋_GB2312" w:cs="仿宋_GB2312"/>
          <w:b/>
          <w:bCs/>
        </w:rPr>
        <w:t xml:space="preserve">  </w:t>
      </w:r>
      <w:r>
        <w:rPr>
          <w:rFonts w:hint="eastAsia" w:hAnsi="仿宋_GB2312" w:cs="仿宋_GB2312"/>
        </w:rPr>
        <w:t>市残联、民政、卫生健康、教育、市场监督管理等部门依法依规开展定点机构检查监督工作，并根据需要协同开展联合专项检查。</w:t>
      </w:r>
    </w:p>
    <w:p>
      <w:pPr>
        <w:widowControl w:val="0"/>
        <w:spacing w:line="580" w:lineRule="exact"/>
        <w:ind w:firstLine="640"/>
        <w:rPr>
          <w:rFonts w:hAnsi="仿宋_GB2312" w:cs="仿宋_GB2312"/>
          <w:b/>
          <w:bCs/>
        </w:rPr>
      </w:pPr>
      <w:r>
        <w:rPr>
          <w:rFonts w:hint="eastAsia" w:hAnsi="仿宋_GB2312" w:cs="仿宋_GB2312"/>
        </w:rPr>
        <w:t>市残联应当建立常态化监督检查机制，组织专人开展实地日常检查工作，同时可通过聘请社会监督员等方式强化社会监督，畅通举报投诉渠道，及时发现和处理存在的问题。</w:t>
      </w:r>
    </w:p>
    <w:p>
      <w:pPr>
        <w:widowControl w:val="0"/>
        <w:spacing w:line="580" w:lineRule="exact"/>
        <w:ind w:firstLine="643"/>
        <w:rPr>
          <w:rFonts w:hAnsi="仿宋_GB2312" w:cs="仿宋_GB2312"/>
        </w:rPr>
      </w:pPr>
      <w:r>
        <w:rPr>
          <w:rFonts w:hint="eastAsia" w:hAnsi="仿宋_GB2312" w:cs="仿宋_GB2312"/>
          <w:b/>
          <w:bCs/>
        </w:rPr>
        <w:t>第二十二条</w:t>
      </w:r>
      <w:r>
        <w:rPr>
          <w:rFonts w:hAnsi="仿宋_GB2312" w:cs="仿宋_GB2312"/>
          <w:b/>
          <w:bCs/>
        </w:rPr>
        <w:t xml:space="preserve">  </w:t>
      </w:r>
      <w:r>
        <w:rPr>
          <w:rFonts w:hint="eastAsia" w:hAnsi="仿宋_GB2312" w:cs="仿宋_GB2312"/>
        </w:rPr>
        <w:t>各区残联可结合实际，自行或委托第三方机构对本区残疾儿童康复救助项目的实施情况进行考核，并将考核结果报送市残联，考核结果作为市残联开展年度考核的依据之一。</w:t>
      </w:r>
    </w:p>
    <w:p>
      <w:pPr>
        <w:widowControl w:val="0"/>
        <w:spacing w:line="580" w:lineRule="exact"/>
        <w:ind w:firstLine="640"/>
        <w:rPr>
          <w:rFonts w:hAnsi="仿宋_GB2312" w:cs="仿宋_GB2312"/>
        </w:rPr>
      </w:pPr>
      <w:r>
        <w:rPr>
          <w:rFonts w:hint="eastAsia" w:hAnsi="仿宋_GB2312" w:cs="仿宋_GB2312"/>
        </w:rPr>
        <w:t>市残联可以自行考核，也可以委托第三方机构，对定点机构开展年度考核，年度考核结果向社会公示。年度考核具体办法由市残联另行制定。</w:t>
      </w:r>
    </w:p>
    <w:p>
      <w:pPr>
        <w:widowControl w:val="0"/>
        <w:spacing w:line="580" w:lineRule="exact"/>
        <w:ind w:firstLine="320" w:firstLineChars="100"/>
        <w:rPr>
          <w:rFonts w:hAnsi="仿宋_GB2312" w:cs="仿宋_GB2312"/>
        </w:rPr>
      </w:pPr>
      <w:r>
        <w:rPr>
          <w:rFonts w:hAnsi="仿宋_GB2312" w:cs="仿宋_GB2312"/>
        </w:rPr>
        <w:t xml:space="preserve">  </w:t>
      </w:r>
      <w:r>
        <w:rPr>
          <w:rFonts w:hint="eastAsia" w:hAnsi="仿宋_GB2312" w:cs="仿宋_GB2312"/>
          <w:b/>
          <w:bCs/>
        </w:rPr>
        <w:t>第二十三条</w:t>
      </w:r>
      <w:r>
        <w:rPr>
          <w:rFonts w:hAnsi="仿宋_GB2312" w:cs="仿宋_GB2312"/>
          <w:b/>
          <w:bCs/>
        </w:rPr>
        <w:t xml:space="preserve">  </w:t>
      </w:r>
      <w:r>
        <w:rPr>
          <w:rFonts w:hint="eastAsia" w:hAnsi="仿宋_GB2312" w:cs="仿宋_GB2312"/>
        </w:rPr>
        <w:t>定点机构违反相关法律法规和本办法规定，根据具体的违规事实，依法纳入省、市公共信用信息管理系统，并按照规定向社会公开。对严重违法失信主体依法依规进行失信惩戒。</w:t>
      </w:r>
    </w:p>
    <w:p>
      <w:pPr>
        <w:widowControl w:val="0"/>
        <w:spacing w:line="580" w:lineRule="exact"/>
        <w:ind w:firstLine="640"/>
        <w:rPr>
          <w:rFonts w:hAnsi="仿宋_GB2312" w:cs="仿宋_GB2312"/>
        </w:rPr>
      </w:pPr>
    </w:p>
    <w:p>
      <w:pPr>
        <w:widowControl w:val="0"/>
        <w:numPr>
          <w:ilvl w:val="0"/>
          <w:numId w:val="6"/>
        </w:numPr>
        <w:spacing w:line="580" w:lineRule="exact"/>
        <w:jc w:val="center"/>
        <w:rPr>
          <w:rFonts w:ascii="黑体" w:hAnsi="黑体" w:eastAsia="黑体" w:cs="黑体"/>
        </w:rPr>
      </w:pPr>
      <w:r>
        <w:rPr>
          <w:rFonts w:ascii="黑体" w:hAnsi="黑体" w:eastAsia="黑体" w:cs="黑体"/>
        </w:rPr>
        <w:t xml:space="preserve"> 附 则</w:t>
      </w:r>
    </w:p>
    <w:p>
      <w:pPr>
        <w:widowControl w:val="0"/>
        <w:spacing w:line="580" w:lineRule="exact"/>
        <w:rPr>
          <w:rFonts w:ascii="黑体" w:hAnsi="黑体" w:eastAsia="黑体" w:cs="黑体"/>
        </w:rPr>
      </w:pPr>
    </w:p>
    <w:p>
      <w:pPr>
        <w:widowControl w:val="0"/>
        <w:spacing w:line="580" w:lineRule="exact"/>
        <w:ind w:firstLine="643"/>
        <w:rPr>
          <w:rFonts w:hint="eastAsia" w:hAnsi="仿宋_GB2312" w:cs="仿宋_GB2312"/>
        </w:rPr>
      </w:pPr>
      <w:r>
        <w:rPr>
          <w:rFonts w:hint="eastAsia" w:hAnsi="仿宋_GB2312" w:cs="仿宋_GB2312"/>
          <w:b/>
          <w:bCs/>
        </w:rPr>
        <w:t>第二十四条</w:t>
      </w:r>
      <w:r>
        <w:rPr>
          <w:rFonts w:hAnsi="仿宋_GB2312" w:cs="仿宋_GB2312"/>
          <w:b/>
          <w:bCs/>
        </w:rPr>
        <w:t xml:space="preserve">  </w:t>
      </w:r>
      <w:r>
        <w:rPr>
          <w:rFonts w:hint="eastAsia" w:hAnsi="仿宋_GB2312" w:cs="仿宋_GB2312"/>
        </w:rPr>
        <w:t>本办法自2022年2月1日起施行，有效期五年。</w:t>
      </w:r>
      <w:bookmarkEnd w:id="0"/>
    </w:p>
    <w:p>
      <w:pPr>
        <w:widowControl w:val="0"/>
        <w:spacing w:line="580" w:lineRule="exact"/>
        <w:ind w:firstLine="643"/>
        <w:rPr>
          <w:rFonts w:hint="eastAsia" w:hAnsi="仿宋_GB2312" w:cs="仿宋_GB2312"/>
        </w:rPr>
      </w:pPr>
    </w:p>
    <w:p>
      <w:pPr>
        <w:widowControl w:val="0"/>
        <w:spacing w:line="580" w:lineRule="exact"/>
        <w:ind w:firstLine="643"/>
        <w:rPr>
          <w:rFonts w:hint="eastAsia" w:hAnsi="仿宋_GB2312" w:cs="仿宋_GB2312"/>
        </w:rPr>
      </w:pPr>
    </w:p>
    <w:p>
      <w:pPr>
        <w:widowControl w:val="0"/>
        <w:spacing w:line="580" w:lineRule="exact"/>
        <w:ind w:firstLine="643"/>
        <w:rPr>
          <w:rFonts w:hint="eastAsia" w:hAnsi="仿宋_GB2312" w:cs="仿宋_GB2312"/>
        </w:rPr>
      </w:pPr>
    </w:p>
    <w:p>
      <w:pPr>
        <w:widowControl w:val="0"/>
        <w:spacing w:line="580" w:lineRule="exact"/>
        <w:ind w:firstLine="643"/>
        <w:rPr>
          <w:rFonts w:hint="eastAsia" w:hAnsi="仿宋_GB2312" w:cs="仿宋_GB2312"/>
        </w:rPr>
      </w:pPr>
    </w:p>
    <w:p>
      <w:pPr>
        <w:widowControl w:val="0"/>
        <w:spacing w:line="580" w:lineRule="exact"/>
        <w:ind w:firstLine="643"/>
        <w:rPr>
          <w:rFonts w:hint="eastAsia" w:hAnsi="仿宋_GB2312" w:cs="仿宋_GB2312"/>
        </w:rPr>
      </w:pPr>
    </w:p>
    <w:p>
      <w:pPr>
        <w:widowControl w:val="0"/>
        <w:spacing w:line="580" w:lineRule="exact"/>
        <w:ind w:firstLine="643"/>
        <w:rPr>
          <w:rFonts w:hint="eastAsia" w:hAnsi="仿宋_GB2312" w:cs="仿宋_GB2312"/>
        </w:rPr>
      </w:pPr>
    </w:p>
    <w:p>
      <w:pPr>
        <w:widowControl w:val="0"/>
        <w:spacing w:line="580" w:lineRule="exact"/>
        <w:ind w:firstLine="643"/>
      </w:pPr>
    </w:p>
    <w:p>
      <w:pPr>
        <w:widowControl w:val="0"/>
        <w:spacing w:line="620" w:lineRule="exact"/>
        <w:jc w:val="center"/>
        <w:rPr>
          <w:rFonts w:hAnsi="宋体" w:cs="宋体"/>
        </w:rPr>
      </w:pPr>
      <w:r>
        <mc:AlternateContent>
          <mc:Choice Requires="wpg">
            <w:drawing>
              <wp:anchor distT="0" distB="0" distL="114300" distR="114300" simplePos="0" relativeHeight="251663360" behindDoc="0" locked="0" layoutInCell="1" allowOverlap="1">
                <wp:simplePos x="0" y="0"/>
                <wp:positionH relativeFrom="column">
                  <wp:posOffset>1270</wp:posOffset>
                </wp:positionH>
                <wp:positionV relativeFrom="paragraph">
                  <wp:posOffset>377825</wp:posOffset>
                </wp:positionV>
                <wp:extent cx="5615940" cy="581025"/>
                <wp:effectExtent l="0" t="0" r="22860" b="9525"/>
                <wp:wrapNone/>
                <wp:docPr id="11" name="组合 11"/>
                <wp:cNvGraphicFramePr/>
                <a:graphic xmlns:a="http://schemas.openxmlformats.org/drawingml/2006/main">
                  <a:graphicData uri="http://schemas.microsoft.com/office/word/2010/wordprocessingGroup">
                    <wpg:wgp>
                      <wpg:cNvGrpSpPr/>
                      <wpg:grpSpPr>
                        <a:xfrm>
                          <a:off x="0" y="0"/>
                          <a:ext cx="5615940" cy="581025"/>
                          <a:chOff x="0" y="0"/>
                          <a:chExt cx="5615940" cy="581025"/>
                        </a:xfrm>
                      </wpg:grpSpPr>
                      <wps:wsp>
                        <wps:cNvPr id="8" name="直接连接符 2"/>
                        <wps:cNvCnPr/>
                        <wps:spPr bwMode="auto">
                          <a:xfrm>
                            <a:off x="0" y="409575"/>
                            <a:ext cx="5615940" cy="14605"/>
                          </a:xfrm>
                          <a:prstGeom prst="line">
                            <a:avLst/>
                          </a:prstGeom>
                          <a:noFill/>
                          <a:ln w="12700">
                            <a:solidFill>
                              <a:srgbClr val="000000"/>
                            </a:solidFill>
                            <a:round/>
                          </a:ln>
                        </wps:spPr>
                        <wps:bodyPr/>
                      </wps:wsp>
                      <wps:wsp>
                        <wps:cNvPr id="9" name="文本框 3"/>
                        <wps:cNvSpPr txBox="1">
                          <a:spLocks noChangeArrowheads="1"/>
                        </wps:cNvSpPr>
                        <wps:spPr bwMode="auto">
                          <a:xfrm>
                            <a:off x="171450" y="66675"/>
                            <a:ext cx="5314950" cy="514350"/>
                          </a:xfrm>
                          <a:prstGeom prst="rect">
                            <a:avLst/>
                          </a:prstGeom>
                          <a:noFill/>
                          <a:ln>
                            <a:noFill/>
                          </a:ln>
                        </wps:spPr>
                        <wps:txbx>
                          <w:txbxContent>
                            <w:p>
                              <w:pPr>
                                <w:spacing w:line="360" w:lineRule="exact"/>
                                <w:jc w:val="left"/>
                              </w:pPr>
                              <w:r>
                                <w:rPr>
                                  <w:rFonts w:hint="eastAsia"/>
                                  <w:sz w:val="28"/>
                                  <w:szCs w:val="28"/>
                                </w:rPr>
                                <w:t>深圳市残疾人联合会办公室              2022年1月14日印发</w:t>
                              </w:r>
                            </w:p>
                          </w:txbxContent>
                        </wps:txbx>
                        <wps:bodyPr rot="0" vert="horz" wrap="square" lIns="91440" tIns="45720" rIns="91440" bIns="45720" anchor="t" anchorCtr="0" upright="1">
                          <a:noAutofit/>
                        </wps:bodyPr>
                      </wps:wsp>
                      <wps:wsp>
                        <wps:cNvPr id="10" name="AutoShape 5"/>
                        <wps:cNvCnPr>
                          <a:cxnSpLocks noChangeShapeType="1"/>
                        </wps:cNvCnPr>
                        <wps:spPr bwMode="auto">
                          <a:xfrm>
                            <a:off x="0" y="0"/>
                            <a:ext cx="5615940" cy="14605"/>
                          </a:xfrm>
                          <a:prstGeom prst="straightConnector1">
                            <a:avLst/>
                          </a:prstGeom>
                          <a:noFill/>
                          <a:ln w="12700">
                            <a:solidFill>
                              <a:srgbClr val="000000"/>
                            </a:solidFill>
                            <a:round/>
                          </a:ln>
                        </wps:spPr>
                        <wps:bodyPr/>
                      </wps:wsp>
                    </wpg:wgp>
                  </a:graphicData>
                </a:graphic>
              </wp:anchor>
            </w:drawing>
          </mc:Choice>
          <mc:Fallback>
            <w:pict>
              <v:group id="_x0000_s1026" o:spid="_x0000_s1026" o:spt="203" style="position:absolute;left:0pt;margin-left:0.1pt;margin-top:29.75pt;height:45.75pt;width:442.2pt;z-index:251663360;mso-width-relative:page;mso-height-relative:page;" coordsize="5615940,581025" o:gfxdata="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w7izvtcAAAAHAQAADwAAAAAAAAABACAA&#10;AAAiAAAAZHJzL2Rvd25yZXYueG1sUEsBAhQAFAAAAAgAh07iQDJr6TArAwAAfwgAAA4AAAAAAAAA&#10;AQAgAAAAJgEAAGRycy9lMm9Eb2MueG1sUEsFBgAAAAAGAAYAWQEAAMMGAAAAAA==&#10;">
                <o:lock v:ext="edit" aspectratio="f"/>
                <v:line id="直接连接符 2" o:spid="_x0000_s1026" o:spt="20" style="position:absolute;left:0;top:409575;height:14605;width:561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文本框 3" o:spid="_x0000_s1026" o:spt="202" type="#_x0000_t202" style="position:absolute;left:171450;top:66675;height:514350;width:531495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60" w:lineRule="exact"/>
                          <w:jc w:val="left"/>
                        </w:pPr>
                        <w:r>
                          <w:rPr>
                            <w:rFonts w:hint="eastAsia"/>
                            <w:sz w:val="28"/>
                            <w:szCs w:val="28"/>
                          </w:rPr>
                          <w:t>深圳市残疾人联合会办公室              2022年1月14日印发</w:t>
                        </w:r>
                      </w:p>
                    </w:txbxContent>
                  </v:textbox>
                </v:shape>
                <v:shape id="AutoShape 5" o:spid="_x0000_s1026" o:spt="32" type="#_x0000_t32" style="position:absolute;left:0;top:0;height:14605;width:5615940;" filled="f" stroked="t" coordsize="21600,21600" o:gfxdata="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hmu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w:pict>
          </mc:Fallback>
        </mc:AlternateContent>
      </w:r>
    </w:p>
    <w:sectPr>
      <w:footerReference r:id="rId3" w:type="default"/>
      <w:footerReference r:id="rId4" w:type="even"/>
      <w:pgSz w:w="11906" w:h="16838"/>
      <w:pgMar w:top="1701" w:right="1474" w:bottom="1701" w:left="1588" w:header="851" w:footer="136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10" w:usb3="00000000" w:csb0="000400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Neue">
    <w:altName w:val="Segoe UI"/>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right="320" w:rightChars="100"/>
      <w:rPr>
        <w:rStyle w:val="37"/>
        <w:rFonts w:asciiTheme="minorEastAsia" w:hAnsiTheme="minorEastAsia" w:eastAsiaTheme="minorEastAsia"/>
        <w:sz w:val="28"/>
        <w:szCs w:val="28"/>
      </w:rPr>
    </w:pPr>
    <w:r>
      <w:rPr>
        <w:rStyle w:val="37"/>
        <w:rFonts w:hint="eastAsia" w:asciiTheme="minorEastAsia" w:hAnsiTheme="minorEastAsia" w:eastAsiaTheme="minorEastAsia"/>
        <w:sz w:val="28"/>
        <w:szCs w:val="28"/>
      </w:rPr>
      <w:t xml:space="preserve">— </w:t>
    </w:r>
    <w:r>
      <w:rPr>
        <w:rStyle w:val="37"/>
        <w:rFonts w:asciiTheme="minorEastAsia" w:hAnsiTheme="minorEastAsia" w:eastAsiaTheme="minorEastAsia"/>
        <w:sz w:val="28"/>
        <w:szCs w:val="28"/>
      </w:rPr>
      <w:fldChar w:fldCharType="begin"/>
    </w:r>
    <w:r>
      <w:rPr>
        <w:rStyle w:val="37"/>
        <w:rFonts w:asciiTheme="minorEastAsia" w:hAnsiTheme="minorEastAsia" w:eastAsiaTheme="minorEastAsia"/>
        <w:sz w:val="28"/>
        <w:szCs w:val="28"/>
      </w:rPr>
      <w:instrText xml:space="preserve">PAGE  </w:instrText>
    </w:r>
    <w:r>
      <w:rPr>
        <w:rStyle w:val="37"/>
        <w:rFonts w:asciiTheme="minorEastAsia" w:hAnsiTheme="minorEastAsia" w:eastAsiaTheme="minorEastAsia"/>
        <w:sz w:val="28"/>
        <w:szCs w:val="28"/>
      </w:rPr>
      <w:fldChar w:fldCharType="separate"/>
    </w:r>
    <w:r>
      <w:rPr>
        <w:rStyle w:val="37"/>
        <w:rFonts w:asciiTheme="minorEastAsia" w:hAnsiTheme="minorEastAsia" w:eastAsiaTheme="minorEastAsia"/>
        <w:sz w:val="28"/>
        <w:szCs w:val="28"/>
      </w:rPr>
      <w:t>11</w:t>
    </w:r>
    <w:r>
      <w:rPr>
        <w:rStyle w:val="37"/>
        <w:rFonts w:asciiTheme="minorEastAsia" w:hAnsiTheme="minorEastAsia" w:eastAsiaTheme="minorEastAsia"/>
        <w:sz w:val="28"/>
        <w:szCs w:val="28"/>
      </w:rPr>
      <w:fldChar w:fldCharType="end"/>
    </w:r>
    <w:r>
      <w:rPr>
        <w:rStyle w:val="37"/>
        <w:rFonts w:hint="eastAsia" w:asciiTheme="minorEastAsia" w:hAnsiTheme="minorEastAsia" w:eastAsiaTheme="minorEastAsia"/>
        <w:sz w:val="28"/>
        <w:szCs w:val="28"/>
      </w:rPr>
      <w:t xml:space="preserve"> —</w:t>
    </w:r>
  </w:p>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left="320" w:leftChars="100"/>
      <w:rPr>
        <w:rStyle w:val="37"/>
        <w:rFonts w:asciiTheme="minorEastAsia" w:hAnsiTheme="minorEastAsia" w:eastAsiaTheme="minorEastAsia"/>
        <w:sz w:val="28"/>
        <w:szCs w:val="28"/>
      </w:rPr>
    </w:pPr>
    <w:r>
      <w:rPr>
        <w:rStyle w:val="37"/>
        <w:rFonts w:hint="eastAsia" w:asciiTheme="minorEastAsia" w:hAnsiTheme="minorEastAsia" w:eastAsiaTheme="minorEastAsia"/>
        <w:sz w:val="28"/>
        <w:szCs w:val="28"/>
      </w:rPr>
      <w:t xml:space="preserve">— </w:t>
    </w:r>
    <w:r>
      <w:rPr>
        <w:rStyle w:val="37"/>
        <w:rFonts w:asciiTheme="minorEastAsia" w:hAnsiTheme="minorEastAsia" w:eastAsiaTheme="minorEastAsia"/>
        <w:sz w:val="28"/>
        <w:szCs w:val="28"/>
      </w:rPr>
      <w:fldChar w:fldCharType="begin"/>
    </w:r>
    <w:r>
      <w:rPr>
        <w:rStyle w:val="37"/>
        <w:rFonts w:asciiTheme="minorEastAsia" w:hAnsiTheme="minorEastAsia" w:eastAsiaTheme="minorEastAsia"/>
        <w:sz w:val="28"/>
        <w:szCs w:val="28"/>
      </w:rPr>
      <w:instrText xml:space="preserve">PAGE  </w:instrText>
    </w:r>
    <w:r>
      <w:rPr>
        <w:rStyle w:val="37"/>
        <w:rFonts w:asciiTheme="minorEastAsia" w:hAnsiTheme="minorEastAsia" w:eastAsiaTheme="minorEastAsia"/>
        <w:sz w:val="28"/>
        <w:szCs w:val="28"/>
      </w:rPr>
      <w:fldChar w:fldCharType="separate"/>
    </w:r>
    <w:r>
      <w:rPr>
        <w:rStyle w:val="37"/>
        <w:rFonts w:asciiTheme="minorEastAsia" w:hAnsiTheme="minorEastAsia" w:eastAsiaTheme="minorEastAsia"/>
        <w:sz w:val="28"/>
        <w:szCs w:val="28"/>
      </w:rPr>
      <w:t>12</w:t>
    </w:r>
    <w:r>
      <w:rPr>
        <w:rStyle w:val="37"/>
        <w:rFonts w:asciiTheme="minorEastAsia" w:hAnsiTheme="minorEastAsia" w:eastAsiaTheme="minorEastAsia"/>
        <w:sz w:val="28"/>
        <w:szCs w:val="28"/>
      </w:rPr>
      <w:fldChar w:fldCharType="end"/>
    </w:r>
    <w:r>
      <w:rPr>
        <w:rStyle w:val="37"/>
        <w:rFonts w:hint="eastAsia" w:asciiTheme="minorEastAsia" w:hAnsiTheme="minorEastAsia" w:eastAsiaTheme="minorEastAsia"/>
        <w:sz w:val="28"/>
        <w:szCs w:val="28"/>
      </w:rPr>
      <w:t xml:space="preserve"> —</w:t>
    </w:r>
  </w:p>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61AA"/>
    <w:multiLevelType w:val="singleLevel"/>
    <w:tmpl w:val="8CAF61AA"/>
    <w:lvl w:ilvl="0" w:tentative="0">
      <w:start w:val="5"/>
      <w:numFmt w:val="chineseCounting"/>
      <w:suff w:val="space"/>
      <w:lvlText w:val="第%1章"/>
      <w:lvlJc w:val="left"/>
      <w:pPr>
        <w:ind w:left="0" w:firstLine="0"/>
      </w:pPr>
    </w:lvl>
  </w:abstractNum>
  <w:abstractNum w:abstractNumId="1">
    <w:nsid w:val="E2C6325A"/>
    <w:multiLevelType w:val="singleLevel"/>
    <w:tmpl w:val="E2C6325A"/>
    <w:lvl w:ilvl="0" w:tentative="0">
      <w:start w:val="1"/>
      <w:numFmt w:val="chineseCounting"/>
      <w:suff w:val="space"/>
      <w:lvlText w:val="第%1章"/>
      <w:lvlJc w:val="left"/>
      <w:pPr>
        <w:ind w:left="0" w:firstLine="0"/>
      </w:pPr>
    </w:lvl>
  </w:abstractNum>
  <w:abstractNum w:abstractNumId="2">
    <w:nsid w:val="00000001"/>
    <w:multiLevelType w:val="multilevel"/>
    <w:tmpl w:val="00000001"/>
    <w:lvl w:ilvl="0" w:tentative="0">
      <w:start w:val="1"/>
      <w:numFmt w:val="bullet"/>
      <w:pStyle w:val="112"/>
      <w:lvlText w:val="☆"/>
      <w:lvlJc w:val="left"/>
      <w:pPr>
        <w:ind w:left="1272" w:hanging="420"/>
      </w:pPr>
      <w:rPr>
        <w:rFonts w:hint="eastAsia" w:ascii="宋体" w:hAnsi="宋体" w:eastAsia="宋体"/>
        <w:lang w:val="en-US"/>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3">
    <w:nsid w:val="00000005"/>
    <w:multiLevelType w:val="multilevel"/>
    <w:tmpl w:val="00000005"/>
    <w:lvl w:ilvl="0" w:tentative="0">
      <w:start w:val="1"/>
      <w:numFmt w:val="bullet"/>
      <w:pStyle w:val="12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00000007"/>
    <w:multiLevelType w:val="multilevel"/>
    <w:tmpl w:val="00000007"/>
    <w:lvl w:ilvl="0" w:tentative="0">
      <w:start w:val="1"/>
      <w:numFmt w:val="bullet"/>
      <w:pStyle w:val="114"/>
      <w:lvlText w:val="★"/>
      <w:lvlJc w:val="left"/>
      <w:pPr>
        <w:ind w:left="902" w:hanging="420"/>
      </w:pPr>
      <w:rPr>
        <w:rFonts w:hint="eastAsia" w:ascii="宋体" w:hAnsi="宋体" w:eastAsia="宋体"/>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3D4F4048"/>
    <w:multiLevelType w:val="multilevel"/>
    <w:tmpl w:val="3D4F4048"/>
    <w:lvl w:ilvl="0" w:tentative="0">
      <w:start w:val="1"/>
      <w:numFmt w:val="japaneseCounting"/>
      <w:pStyle w:val="72"/>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4"/>
  </w:num>
  <w:num w:numId="4">
    <w:abstractNumId w:val="3"/>
  </w:num>
  <w:num w:numId="5">
    <w:abstractNumId w:val="1"/>
    <w:lvlOverride w:ilvl="0">
      <w:startOverride w:val="1"/>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36"/>
    <w:rsid w:val="0000393E"/>
    <w:rsid w:val="000176EA"/>
    <w:rsid w:val="00030134"/>
    <w:rsid w:val="000449F6"/>
    <w:rsid w:val="00096231"/>
    <w:rsid w:val="000C45E9"/>
    <w:rsid w:val="000C4615"/>
    <w:rsid w:val="000E5B50"/>
    <w:rsid w:val="000F193E"/>
    <w:rsid w:val="00112067"/>
    <w:rsid w:val="0012585F"/>
    <w:rsid w:val="001275EA"/>
    <w:rsid w:val="00130498"/>
    <w:rsid w:val="001509F1"/>
    <w:rsid w:val="00154A88"/>
    <w:rsid w:val="00163D6A"/>
    <w:rsid w:val="0016688C"/>
    <w:rsid w:val="001678D0"/>
    <w:rsid w:val="00195566"/>
    <w:rsid w:val="001A0710"/>
    <w:rsid w:val="001C3AC4"/>
    <w:rsid w:val="001C47AA"/>
    <w:rsid w:val="001C649C"/>
    <w:rsid w:val="001E52BF"/>
    <w:rsid w:val="001F4042"/>
    <w:rsid w:val="001F440F"/>
    <w:rsid w:val="002073BD"/>
    <w:rsid w:val="00212C6C"/>
    <w:rsid w:val="002229BA"/>
    <w:rsid w:val="002336F5"/>
    <w:rsid w:val="0023713E"/>
    <w:rsid w:val="00237BFF"/>
    <w:rsid w:val="002426F6"/>
    <w:rsid w:val="00262F0D"/>
    <w:rsid w:val="00271CB6"/>
    <w:rsid w:val="00280BB0"/>
    <w:rsid w:val="00292C09"/>
    <w:rsid w:val="002935E8"/>
    <w:rsid w:val="00296584"/>
    <w:rsid w:val="002A0DE4"/>
    <w:rsid w:val="002A4DD8"/>
    <w:rsid w:val="002B0D6D"/>
    <w:rsid w:val="002B67AE"/>
    <w:rsid w:val="002C23EB"/>
    <w:rsid w:val="002C37E0"/>
    <w:rsid w:val="002D1450"/>
    <w:rsid w:val="002E2AD1"/>
    <w:rsid w:val="002E4344"/>
    <w:rsid w:val="002F791E"/>
    <w:rsid w:val="00303C96"/>
    <w:rsid w:val="0031542C"/>
    <w:rsid w:val="00321B5A"/>
    <w:rsid w:val="0032271B"/>
    <w:rsid w:val="00331C86"/>
    <w:rsid w:val="00340219"/>
    <w:rsid w:val="00343C29"/>
    <w:rsid w:val="003504BC"/>
    <w:rsid w:val="003639D7"/>
    <w:rsid w:val="003702FC"/>
    <w:rsid w:val="003729A3"/>
    <w:rsid w:val="003928F7"/>
    <w:rsid w:val="003A29C9"/>
    <w:rsid w:val="003A7D65"/>
    <w:rsid w:val="003D7498"/>
    <w:rsid w:val="003F692C"/>
    <w:rsid w:val="00407900"/>
    <w:rsid w:val="00410B74"/>
    <w:rsid w:val="00426ED3"/>
    <w:rsid w:val="0045541F"/>
    <w:rsid w:val="00466843"/>
    <w:rsid w:val="00470486"/>
    <w:rsid w:val="00472343"/>
    <w:rsid w:val="0049264F"/>
    <w:rsid w:val="00496305"/>
    <w:rsid w:val="004A17DE"/>
    <w:rsid w:val="004A4DA4"/>
    <w:rsid w:val="004B05A6"/>
    <w:rsid w:val="004C2A62"/>
    <w:rsid w:val="004D5203"/>
    <w:rsid w:val="004D7989"/>
    <w:rsid w:val="00543D3B"/>
    <w:rsid w:val="00547B3D"/>
    <w:rsid w:val="00555CDC"/>
    <w:rsid w:val="00575F41"/>
    <w:rsid w:val="0058386C"/>
    <w:rsid w:val="0059039E"/>
    <w:rsid w:val="00591819"/>
    <w:rsid w:val="0059241F"/>
    <w:rsid w:val="005A28E8"/>
    <w:rsid w:val="005B531B"/>
    <w:rsid w:val="005C0EA3"/>
    <w:rsid w:val="005F05B8"/>
    <w:rsid w:val="006133DB"/>
    <w:rsid w:val="00616946"/>
    <w:rsid w:val="00620CB8"/>
    <w:rsid w:val="0062409F"/>
    <w:rsid w:val="0063149D"/>
    <w:rsid w:val="00636D8C"/>
    <w:rsid w:val="0064435B"/>
    <w:rsid w:val="006648F2"/>
    <w:rsid w:val="00673B90"/>
    <w:rsid w:val="006767FC"/>
    <w:rsid w:val="00677B93"/>
    <w:rsid w:val="00683268"/>
    <w:rsid w:val="006A1ECD"/>
    <w:rsid w:val="006A5FB8"/>
    <w:rsid w:val="006A69E4"/>
    <w:rsid w:val="006D4BC1"/>
    <w:rsid w:val="006E2FB8"/>
    <w:rsid w:val="006F73C5"/>
    <w:rsid w:val="0070592A"/>
    <w:rsid w:val="00706006"/>
    <w:rsid w:val="007170E9"/>
    <w:rsid w:val="00721559"/>
    <w:rsid w:val="00734FB4"/>
    <w:rsid w:val="00735D80"/>
    <w:rsid w:val="00736D59"/>
    <w:rsid w:val="00755DD9"/>
    <w:rsid w:val="00782CC0"/>
    <w:rsid w:val="00784678"/>
    <w:rsid w:val="007848F0"/>
    <w:rsid w:val="00785966"/>
    <w:rsid w:val="00797CE0"/>
    <w:rsid w:val="007F3200"/>
    <w:rsid w:val="007F5A5F"/>
    <w:rsid w:val="007F76D2"/>
    <w:rsid w:val="00851B3F"/>
    <w:rsid w:val="00852826"/>
    <w:rsid w:val="008559A4"/>
    <w:rsid w:val="00861704"/>
    <w:rsid w:val="0086220A"/>
    <w:rsid w:val="00892786"/>
    <w:rsid w:val="008A06B1"/>
    <w:rsid w:val="008B0908"/>
    <w:rsid w:val="008B6A2F"/>
    <w:rsid w:val="008C26AA"/>
    <w:rsid w:val="008D7B3A"/>
    <w:rsid w:val="008E2996"/>
    <w:rsid w:val="008E5723"/>
    <w:rsid w:val="00900F02"/>
    <w:rsid w:val="00907A86"/>
    <w:rsid w:val="009156A5"/>
    <w:rsid w:val="009163CC"/>
    <w:rsid w:val="0093340F"/>
    <w:rsid w:val="00935992"/>
    <w:rsid w:val="00935AC8"/>
    <w:rsid w:val="00944BCA"/>
    <w:rsid w:val="00954618"/>
    <w:rsid w:val="0096041A"/>
    <w:rsid w:val="009610EF"/>
    <w:rsid w:val="0096617C"/>
    <w:rsid w:val="009732BF"/>
    <w:rsid w:val="00983A65"/>
    <w:rsid w:val="00984574"/>
    <w:rsid w:val="00991B09"/>
    <w:rsid w:val="009B00DC"/>
    <w:rsid w:val="009C1611"/>
    <w:rsid w:val="009C72D5"/>
    <w:rsid w:val="009E53B7"/>
    <w:rsid w:val="009F3A97"/>
    <w:rsid w:val="009F412E"/>
    <w:rsid w:val="00A01D4C"/>
    <w:rsid w:val="00A04611"/>
    <w:rsid w:val="00A11691"/>
    <w:rsid w:val="00A23757"/>
    <w:rsid w:val="00A5583B"/>
    <w:rsid w:val="00A65C22"/>
    <w:rsid w:val="00A71545"/>
    <w:rsid w:val="00A84984"/>
    <w:rsid w:val="00A92742"/>
    <w:rsid w:val="00A93535"/>
    <w:rsid w:val="00A9449E"/>
    <w:rsid w:val="00A94F2F"/>
    <w:rsid w:val="00AB29F3"/>
    <w:rsid w:val="00AF3DF5"/>
    <w:rsid w:val="00AF7BE3"/>
    <w:rsid w:val="00B02BD4"/>
    <w:rsid w:val="00B16E96"/>
    <w:rsid w:val="00B31E72"/>
    <w:rsid w:val="00B41C99"/>
    <w:rsid w:val="00B57271"/>
    <w:rsid w:val="00B635A6"/>
    <w:rsid w:val="00B701F7"/>
    <w:rsid w:val="00B70308"/>
    <w:rsid w:val="00BA522C"/>
    <w:rsid w:val="00BC03C6"/>
    <w:rsid w:val="00BC4281"/>
    <w:rsid w:val="00BC57E2"/>
    <w:rsid w:val="00BD1B54"/>
    <w:rsid w:val="00BD3E86"/>
    <w:rsid w:val="00BE2B2E"/>
    <w:rsid w:val="00BF0967"/>
    <w:rsid w:val="00BF5B0A"/>
    <w:rsid w:val="00C012BA"/>
    <w:rsid w:val="00C022DB"/>
    <w:rsid w:val="00C106B5"/>
    <w:rsid w:val="00C329D5"/>
    <w:rsid w:val="00C32C51"/>
    <w:rsid w:val="00C35BBD"/>
    <w:rsid w:val="00C41B3A"/>
    <w:rsid w:val="00C45218"/>
    <w:rsid w:val="00C73036"/>
    <w:rsid w:val="00C8411E"/>
    <w:rsid w:val="00C912A8"/>
    <w:rsid w:val="00CA1B0D"/>
    <w:rsid w:val="00CA26A0"/>
    <w:rsid w:val="00CB64EB"/>
    <w:rsid w:val="00CD39F2"/>
    <w:rsid w:val="00CD3F0F"/>
    <w:rsid w:val="00CD4C72"/>
    <w:rsid w:val="00CE6B46"/>
    <w:rsid w:val="00D15BCB"/>
    <w:rsid w:val="00D17E33"/>
    <w:rsid w:val="00D3207F"/>
    <w:rsid w:val="00D4003C"/>
    <w:rsid w:val="00D43072"/>
    <w:rsid w:val="00D45FAA"/>
    <w:rsid w:val="00D54A09"/>
    <w:rsid w:val="00D724F0"/>
    <w:rsid w:val="00D808D6"/>
    <w:rsid w:val="00D81016"/>
    <w:rsid w:val="00D91C4F"/>
    <w:rsid w:val="00DC63E8"/>
    <w:rsid w:val="00DE2F72"/>
    <w:rsid w:val="00DF05EA"/>
    <w:rsid w:val="00DF17B3"/>
    <w:rsid w:val="00E02DD7"/>
    <w:rsid w:val="00E3188D"/>
    <w:rsid w:val="00E533D1"/>
    <w:rsid w:val="00E635F6"/>
    <w:rsid w:val="00E75351"/>
    <w:rsid w:val="00E8412A"/>
    <w:rsid w:val="00E924DC"/>
    <w:rsid w:val="00E966D1"/>
    <w:rsid w:val="00EA082B"/>
    <w:rsid w:val="00EB2297"/>
    <w:rsid w:val="00EB6DF1"/>
    <w:rsid w:val="00EC7924"/>
    <w:rsid w:val="00ED6127"/>
    <w:rsid w:val="00F0010C"/>
    <w:rsid w:val="00F03292"/>
    <w:rsid w:val="00F12915"/>
    <w:rsid w:val="00F13BB2"/>
    <w:rsid w:val="00F13D1A"/>
    <w:rsid w:val="00F14A29"/>
    <w:rsid w:val="00F40293"/>
    <w:rsid w:val="00F5237B"/>
    <w:rsid w:val="00F77436"/>
    <w:rsid w:val="00F806A2"/>
    <w:rsid w:val="00F93A04"/>
    <w:rsid w:val="00F97108"/>
    <w:rsid w:val="00FC7309"/>
    <w:rsid w:val="00FD47CA"/>
    <w:rsid w:val="00FD7D19"/>
    <w:rsid w:val="00FE459E"/>
    <w:rsid w:val="00FE5EDB"/>
    <w:rsid w:val="00FF2E7C"/>
    <w:rsid w:val="00FF490B"/>
    <w:rsid w:val="00FF745B"/>
    <w:rsid w:val="6AF1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43"/>
    <w:qFormat/>
    <w:uiPriority w:val="9"/>
    <w:pPr>
      <w:keepNext/>
      <w:keepLines/>
      <w:spacing w:line="720" w:lineRule="exact"/>
      <w:jc w:val="center"/>
      <w:outlineLvl w:val="0"/>
    </w:pPr>
    <w:rPr>
      <w:rFonts w:ascii="Calibri" w:hAnsi="Calibri" w:eastAsia="方正小标宋简体" w:cs="宋体"/>
      <w:bCs/>
      <w:kern w:val="44"/>
      <w:sz w:val="44"/>
      <w:szCs w:val="44"/>
    </w:rPr>
  </w:style>
  <w:style w:type="paragraph" w:styleId="3">
    <w:name w:val="heading 2"/>
    <w:basedOn w:val="1"/>
    <w:next w:val="1"/>
    <w:link w:val="44"/>
    <w:qFormat/>
    <w:uiPriority w:val="0"/>
    <w:pPr>
      <w:keepNext/>
      <w:keepLines/>
      <w:spacing w:line="580" w:lineRule="exact"/>
      <w:ind w:firstLine="200" w:firstLineChars="200"/>
      <w:outlineLvl w:val="1"/>
    </w:pPr>
    <w:rPr>
      <w:rFonts w:ascii="Arial" w:hAnsi="Arial" w:eastAsia="黑体" w:cs="Times New Roman"/>
      <w:bCs/>
    </w:rPr>
  </w:style>
  <w:style w:type="paragraph" w:styleId="4">
    <w:name w:val="heading 3"/>
    <w:basedOn w:val="1"/>
    <w:next w:val="1"/>
    <w:link w:val="45"/>
    <w:qFormat/>
    <w:uiPriority w:val="0"/>
    <w:pPr>
      <w:keepNext/>
      <w:keepLines/>
      <w:spacing w:line="580" w:lineRule="exact"/>
      <w:ind w:firstLine="200" w:firstLineChars="200"/>
      <w:outlineLvl w:val="2"/>
    </w:pPr>
    <w:rPr>
      <w:rFonts w:hAnsi="Times New Roman" w:eastAsia="楷体_GB2312" w:cs="Times New Roman"/>
      <w:bCs/>
    </w:rPr>
  </w:style>
  <w:style w:type="paragraph" w:styleId="5">
    <w:name w:val="heading 4"/>
    <w:next w:val="1"/>
    <w:link w:val="46"/>
    <w:unhideWhenUsed/>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6">
    <w:name w:val="index 8"/>
    <w:basedOn w:val="1"/>
    <w:next w:val="1"/>
    <w:qFormat/>
    <w:uiPriority w:val="0"/>
    <w:pPr>
      <w:widowControl w:val="0"/>
      <w:spacing w:line="580" w:lineRule="exact"/>
    </w:pPr>
    <w:rPr>
      <w:rFonts w:ascii="方正小标宋简体" w:hAnsi="黑体" w:eastAsia="方正小标宋简体" w:cs="Times New Roman"/>
    </w:rPr>
  </w:style>
  <w:style w:type="paragraph" w:styleId="7">
    <w:name w:val="Normal Indent"/>
    <w:basedOn w:val="1"/>
    <w:unhideWhenUsed/>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8">
    <w:name w:val="caption"/>
    <w:basedOn w:val="1"/>
    <w:next w:val="1"/>
    <w:qFormat/>
    <w:uiPriority w:val="35"/>
    <w:pPr>
      <w:adjustRightInd w:val="0"/>
      <w:snapToGrid w:val="0"/>
      <w:spacing w:after="200" w:line="580" w:lineRule="exact"/>
      <w:ind w:firstLine="200" w:firstLineChars="200"/>
      <w:jc w:val="left"/>
    </w:pPr>
    <w:rPr>
      <w:rFonts w:ascii="Cambria" w:hAnsi="Cambria" w:eastAsia="黑体" w:cs="宋体"/>
      <w:kern w:val="0"/>
      <w:sz w:val="20"/>
      <w:szCs w:val="20"/>
    </w:rPr>
  </w:style>
  <w:style w:type="paragraph" w:styleId="9">
    <w:name w:val="Document Map"/>
    <w:basedOn w:val="1"/>
    <w:link w:val="52"/>
    <w:qFormat/>
    <w:uiPriority w:val="99"/>
    <w:pPr>
      <w:shd w:val="clear" w:color="auto" w:fill="000080"/>
      <w:spacing w:line="580" w:lineRule="exact"/>
      <w:ind w:firstLine="200" w:firstLineChars="200"/>
    </w:pPr>
    <w:rPr>
      <w:rFonts w:ascii="Calibri" w:hAnsi="Calibri" w:cs="Times New Roman"/>
      <w:sz w:val="24"/>
    </w:rPr>
  </w:style>
  <w:style w:type="paragraph" w:styleId="10">
    <w:name w:val="annotation text"/>
    <w:basedOn w:val="1"/>
    <w:link w:val="53"/>
    <w:unhideWhenUsed/>
    <w:qFormat/>
    <w:uiPriority w:val="99"/>
    <w:pPr>
      <w:spacing w:line="580" w:lineRule="exact"/>
      <w:ind w:firstLine="200" w:firstLineChars="200"/>
      <w:jc w:val="left"/>
    </w:pPr>
    <w:rPr>
      <w:rFonts w:ascii="Calibri" w:hAnsi="Calibri" w:cs="Times New Roman"/>
    </w:rPr>
  </w:style>
  <w:style w:type="paragraph" w:styleId="11">
    <w:name w:val="Salutation"/>
    <w:basedOn w:val="1"/>
    <w:next w:val="1"/>
    <w:link w:val="54"/>
    <w:qFormat/>
    <w:uiPriority w:val="0"/>
    <w:pPr>
      <w:spacing w:line="580" w:lineRule="exact"/>
      <w:ind w:firstLine="200" w:firstLineChars="200"/>
    </w:pPr>
    <w:rPr>
      <w:rFonts w:hAnsi="Times New Roman" w:cs="Times New Roman"/>
    </w:rPr>
  </w:style>
  <w:style w:type="paragraph" w:styleId="12">
    <w:name w:val="Closing"/>
    <w:basedOn w:val="1"/>
    <w:link w:val="55"/>
    <w:qFormat/>
    <w:uiPriority w:val="0"/>
    <w:pPr>
      <w:widowControl w:val="0"/>
      <w:spacing w:line="240" w:lineRule="auto"/>
      <w:ind w:left="100" w:leftChars="2100"/>
    </w:pPr>
    <w:rPr>
      <w:rFonts w:ascii="仿宋" w:hAnsi="仿宋" w:eastAsia="仿宋" w:cs="仿宋"/>
    </w:rPr>
  </w:style>
  <w:style w:type="paragraph" w:styleId="13">
    <w:name w:val="Body Text"/>
    <w:basedOn w:val="1"/>
    <w:link w:val="56"/>
    <w:qFormat/>
    <w:uiPriority w:val="99"/>
    <w:pPr>
      <w:spacing w:line="360" w:lineRule="auto"/>
      <w:ind w:firstLine="200" w:firstLineChars="200"/>
      <w:jc w:val="center"/>
    </w:pPr>
    <w:rPr>
      <w:rFonts w:hAnsi="Times New Roman" w:cs="Times New Roman"/>
      <w:sz w:val="44"/>
      <w:lang w:val="zh-CN"/>
    </w:rPr>
  </w:style>
  <w:style w:type="paragraph" w:styleId="14">
    <w:name w:val="Body Text Indent"/>
    <w:basedOn w:val="1"/>
    <w:link w:val="57"/>
    <w:qFormat/>
    <w:uiPriority w:val="0"/>
    <w:pPr>
      <w:spacing w:line="580" w:lineRule="exact"/>
      <w:ind w:firstLine="600" w:firstLineChars="200"/>
    </w:pPr>
    <w:rPr>
      <w:rFonts w:hAnsi="Times New Roman" w:cs="Times New Roman"/>
      <w:sz w:val="30"/>
      <w:lang w:val="zh-CN"/>
    </w:rPr>
  </w:style>
  <w:style w:type="paragraph" w:styleId="15">
    <w:name w:val="toc 3"/>
    <w:basedOn w:val="1"/>
    <w:next w:val="1"/>
    <w:qFormat/>
    <w:uiPriority w:val="39"/>
    <w:pPr>
      <w:adjustRightInd w:val="0"/>
      <w:snapToGrid w:val="0"/>
      <w:spacing w:after="200" w:line="580" w:lineRule="exact"/>
      <w:ind w:left="840" w:leftChars="400" w:firstLine="200" w:firstLineChars="200"/>
      <w:jc w:val="left"/>
    </w:pPr>
    <w:rPr>
      <w:rFonts w:ascii="Tahoma" w:hAnsi="Tahoma" w:eastAsia="微软雅黑" w:cs="宋体"/>
      <w:kern w:val="0"/>
      <w:sz w:val="22"/>
      <w:szCs w:val="22"/>
    </w:rPr>
  </w:style>
  <w:style w:type="paragraph" w:styleId="16">
    <w:name w:val="Plain Text"/>
    <w:basedOn w:val="1"/>
    <w:next w:val="6"/>
    <w:link w:val="58"/>
    <w:qFormat/>
    <w:uiPriority w:val="0"/>
    <w:pPr>
      <w:widowControl w:val="0"/>
      <w:spacing w:line="240" w:lineRule="auto"/>
    </w:pPr>
    <w:rPr>
      <w:rFonts w:ascii="宋体" w:hAnsi="Courier New" w:eastAsia="宋体" w:cs="Times New Roman"/>
      <w:sz w:val="21"/>
      <w:szCs w:val="21"/>
    </w:rPr>
  </w:style>
  <w:style w:type="paragraph" w:styleId="17">
    <w:name w:val="Date"/>
    <w:basedOn w:val="1"/>
    <w:next w:val="1"/>
    <w:link w:val="50"/>
    <w:unhideWhenUsed/>
    <w:qFormat/>
    <w:uiPriority w:val="99"/>
    <w:pPr>
      <w:ind w:left="100" w:leftChars="2500"/>
    </w:pPr>
  </w:style>
  <w:style w:type="paragraph" w:styleId="18">
    <w:name w:val="Body Text Indent 2"/>
    <w:basedOn w:val="1"/>
    <w:link w:val="59"/>
    <w:qFormat/>
    <w:uiPriority w:val="0"/>
    <w:pPr>
      <w:spacing w:line="580" w:lineRule="exact"/>
      <w:ind w:firstLine="630" w:firstLineChars="200"/>
    </w:pPr>
    <w:rPr>
      <w:rFonts w:hAnsi="Times New Roman" w:cs="Times New Roman"/>
    </w:rPr>
  </w:style>
  <w:style w:type="paragraph" w:styleId="19">
    <w:name w:val="Balloon Text"/>
    <w:basedOn w:val="1"/>
    <w:link w:val="49"/>
    <w:unhideWhenUsed/>
    <w:qFormat/>
    <w:uiPriority w:val="0"/>
    <w:pPr>
      <w:spacing w:line="240" w:lineRule="auto"/>
    </w:pPr>
    <w:rPr>
      <w:sz w:val="18"/>
      <w:szCs w:val="18"/>
    </w:rPr>
  </w:style>
  <w:style w:type="paragraph" w:styleId="20">
    <w:name w:val="footer"/>
    <w:basedOn w:val="1"/>
    <w:link w:val="48"/>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link w:val="4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qFormat/>
    <w:uiPriority w:val="39"/>
    <w:pPr>
      <w:tabs>
        <w:tab w:val="right" w:leader="dot" w:pos="8296"/>
      </w:tabs>
      <w:spacing w:line="580" w:lineRule="exact"/>
      <w:ind w:firstLine="200" w:firstLineChars="200"/>
      <w:jc w:val="center"/>
    </w:pPr>
    <w:rPr>
      <w:rFonts w:ascii="微软雅黑" w:hAnsi="微软雅黑" w:eastAsia="微软雅黑" w:cs="宋体"/>
      <w:sz w:val="24"/>
      <w:szCs w:val="28"/>
    </w:rPr>
  </w:style>
  <w:style w:type="paragraph" w:styleId="23">
    <w:name w:val="Subtitle"/>
    <w:basedOn w:val="1"/>
    <w:next w:val="1"/>
    <w:link w:val="60"/>
    <w:qFormat/>
    <w:uiPriority w:val="0"/>
    <w:pPr>
      <w:spacing w:before="240" w:after="60" w:line="312" w:lineRule="auto"/>
      <w:ind w:firstLine="200" w:firstLineChars="200"/>
      <w:jc w:val="center"/>
      <w:outlineLvl w:val="1"/>
    </w:pPr>
    <w:rPr>
      <w:rFonts w:ascii="Cambria" w:hAnsi="Cambria" w:cs="Times New Roman"/>
      <w:b/>
      <w:bCs/>
      <w:kern w:val="28"/>
    </w:rPr>
  </w:style>
  <w:style w:type="paragraph" w:styleId="24">
    <w:name w:val="footnote text"/>
    <w:basedOn w:val="1"/>
    <w:link w:val="61"/>
    <w:qFormat/>
    <w:uiPriority w:val="99"/>
    <w:pPr>
      <w:snapToGrid w:val="0"/>
      <w:spacing w:line="360" w:lineRule="auto"/>
      <w:ind w:firstLine="200" w:firstLineChars="200"/>
      <w:jc w:val="left"/>
    </w:pPr>
    <w:rPr>
      <w:rFonts w:ascii="Calibri" w:hAnsi="Calibri" w:cs="宋体"/>
      <w:sz w:val="18"/>
      <w:szCs w:val="18"/>
    </w:rPr>
  </w:style>
  <w:style w:type="paragraph" w:styleId="25">
    <w:name w:val="Body Text Indent 3"/>
    <w:basedOn w:val="1"/>
    <w:link w:val="62"/>
    <w:qFormat/>
    <w:uiPriority w:val="0"/>
    <w:pPr>
      <w:spacing w:line="580" w:lineRule="exact"/>
      <w:ind w:firstLine="640" w:firstLineChars="200"/>
    </w:pPr>
    <w:rPr>
      <w:rFonts w:hAnsi="Times New Roman" w:cs="Times New Roman"/>
    </w:rPr>
  </w:style>
  <w:style w:type="paragraph" w:styleId="26">
    <w:name w:val="toc 2"/>
    <w:basedOn w:val="1"/>
    <w:next w:val="1"/>
    <w:qFormat/>
    <w:uiPriority w:val="39"/>
    <w:pPr>
      <w:tabs>
        <w:tab w:val="right" w:leader="dot" w:pos="8296"/>
      </w:tabs>
      <w:adjustRightInd w:val="0"/>
      <w:snapToGrid w:val="0"/>
      <w:spacing w:after="200" w:line="580" w:lineRule="exact"/>
      <w:ind w:left="440" w:leftChars="200" w:firstLine="200" w:firstLineChars="200"/>
      <w:jc w:val="left"/>
    </w:pPr>
    <w:rPr>
      <w:rFonts w:ascii="黑体" w:hAnsi="黑体" w:eastAsia="黑体" w:cs="宋体"/>
      <w:kern w:val="0"/>
      <w:sz w:val="28"/>
      <w:szCs w:val="28"/>
    </w:rPr>
  </w:style>
  <w:style w:type="paragraph" w:styleId="27">
    <w:name w:val="Body Text 2"/>
    <w:basedOn w:val="1"/>
    <w:link w:val="63"/>
    <w:qFormat/>
    <w:uiPriority w:val="0"/>
    <w:pPr>
      <w:spacing w:line="600" w:lineRule="exact"/>
      <w:ind w:firstLine="200" w:firstLineChars="200"/>
    </w:pPr>
    <w:rPr>
      <w:rFonts w:hAnsi="Times New Roman" w:cs="Times New Roman"/>
    </w:rPr>
  </w:style>
  <w:style w:type="paragraph" w:styleId="28">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styleId="29">
    <w:name w:val="Normal (Web)"/>
    <w:basedOn w:val="1"/>
    <w:qFormat/>
    <w:uiPriority w:val="0"/>
    <w:pPr>
      <w:spacing w:before="240" w:after="240" w:line="580" w:lineRule="exact"/>
      <w:ind w:firstLine="480" w:firstLineChars="200"/>
      <w:jc w:val="left"/>
    </w:pPr>
    <w:rPr>
      <w:rFonts w:ascii="宋体" w:hAnsi="宋体" w:cs="Times New Roman"/>
      <w:kern w:val="0"/>
      <w:sz w:val="24"/>
    </w:rPr>
  </w:style>
  <w:style w:type="paragraph" w:styleId="30">
    <w:name w:val="Title"/>
    <w:basedOn w:val="1"/>
    <w:next w:val="1"/>
    <w:link w:val="65"/>
    <w:qFormat/>
    <w:uiPriority w:val="0"/>
    <w:pPr>
      <w:spacing w:line="720" w:lineRule="exact"/>
      <w:jc w:val="center"/>
      <w:outlineLvl w:val="0"/>
    </w:pPr>
    <w:rPr>
      <w:rFonts w:ascii="Cambria" w:hAnsi="Cambria" w:eastAsia="方正小标宋简体" w:cs="宋体"/>
      <w:bCs/>
      <w:sz w:val="44"/>
    </w:rPr>
  </w:style>
  <w:style w:type="paragraph" w:styleId="31">
    <w:name w:val="annotation subject"/>
    <w:basedOn w:val="10"/>
    <w:next w:val="10"/>
    <w:link w:val="66"/>
    <w:qFormat/>
    <w:uiPriority w:val="99"/>
    <w:pPr>
      <w:adjustRightInd w:val="0"/>
      <w:snapToGrid w:val="0"/>
      <w:spacing w:after="200"/>
    </w:pPr>
    <w:rPr>
      <w:rFonts w:ascii="Tahoma" w:hAnsi="Tahoma" w:eastAsia="微软雅黑" w:cs="宋体"/>
      <w:b/>
      <w:bCs/>
      <w:sz w:val="22"/>
      <w:szCs w:val="22"/>
    </w:rPr>
  </w:style>
  <w:style w:type="paragraph" w:styleId="32">
    <w:name w:val="Body Text First Indent"/>
    <w:basedOn w:val="13"/>
    <w:link w:val="67"/>
    <w:unhideWhenUsed/>
    <w:qFormat/>
    <w:uiPriority w:val="99"/>
    <w:pPr>
      <w:widowControl w:val="0"/>
      <w:spacing w:after="120" w:line="240" w:lineRule="auto"/>
      <w:ind w:firstLine="420" w:firstLineChars="100"/>
      <w:jc w:val="both"/>
    </w:pPr>
    <w:rPr>
      <w:rFonts w:ascii="Calibri" w:hAnsi="Calibri" w:eastAsia="宋体"/>
      <w:sz w:val="21"/>
      <w:szCs w:val="24"/>
      <w:lang w:val="en-U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qFormat/>
    <w:uiPriority w:val="22"/>
    <w:rPr>
      <w:rFonts w:eastAsia="宋体"/>
      <w:b/>
      <w:bCs/>
      <w:kern w:val="2"/>
      <w:sz w:val="24"/>
      <w:szCs w:val="24"/>
      <w:lang w:val="en-US" w:eastAsia="zh-CN" w:bidi="ar-SA"/>
    </w:rPr>
  </w:style>
  <w:style w:type="character" w:styleId="37">
    <w:name w:val="page number"/>
    <w:basedOn w:val="35"/>
    <w:unhideWhenUsed/>
    <w:qFormat/>
    <w:uiPriority w:val="99"/>
  </w:style>
  <w:style w:type="character" w:styleId="38">
    <w:name w:val="FollowedHyperlink"/>
    <w:qFormat/>
    <w:uiPriority w:val="99"/>
    <w:rPr>
      <w:rFonts w:eastAsia="宋体"/>
      <w:color w:val="800080"/>
      <w:kern w:val="2"/>
      <w:sz w:val="24"/>
      <w:szCs w:val="24"/>
      <w:u w:val="single"/>
      <w:lang w:val="en-US" w:eastAsia="zh-CN" w:bidi="ar-SA"/>
    </w:rPr>
  </w:style>
  <w:style w:type="character" w:styleId="39">
    <w:name w:val="Emphasis"/>
    <w:qFormat/>
    <w:uiPriority w:val="0"/>
    <w:rPr>
      <w:rFonts w:cs="Times New Roman"/>
      <w:sz w:val="24"/>
    </w:rPr>
  </w:style>
  <w:style w:type="character" w:styleId="40">
    <w:name w:val="Hyperlink"/>
    <w:qFormat/>
    <w:uiPriority w:val="99"/>
    <w:rPr>
      <w:rFonts w:eastAsia="宋体"/>
      <w:color w:val="0000FF"/>
      <w:kern w:val="2"/>
      <w:sz w:val="24"/>
      <w:szCs w:val="24"/>
      <w:u w:val="single"/>
      <w:lang w:val="en-US" w:eastAsia="zh-CN" w:bidi="ar-SA"/>
    </w:rPr>
  </w:style>
  <w:style w:type="character" w:styleId="41">
    <w:name w:val="annotation reference"/>
    <w:qFormat/>
    <w:uiPriority w:val="99"/>
    <w:rPr>
      <w:rFonts w:eastAsia="宋体"/>
      <w:kern w:val="2"/>
      <w:sz w:val="21"/>
      <w:szCs w:val="21"/>
      <w:lang w:val="en-US" w:eastAsia="zh-CN" w:bidi="ar-SA"/>
    </w:rPr>
  </w:style>
  <w:style w:type="character" w:styleId="42">
    <w:name w:val="footnote reference"/>
    <w:qFormat/>
    <w:uiPriority w:val="0"/>
    <w:rPr>
      <w:rFonts w:eastAsia="宋体"/>
      <w:kern w:val="2"/>
      <w:sz w:val="24"/>
      <w:szCs w:val="24"/>
      <w:vertAlign w:val="superscript"/>
      <w:lang w:val="en-US" w:eastAsia="zh-CN" w:bidi="ar-SA"/>
    </w:rPr>
  </w:style>
  <w:style w:type="character" w:customStyle="1" w:styleId="43">
    <w:name w:val="标题 1 Char"/>
    <w:basedOn w:val="35"/>
    <w:link w:val="2"/>
    <w:qFormat/>
    <w:uiPriority w:val="9"/>
    <w:rPr>
      <w:rFonts w:ascii="Calibri" w:hAnsi="Calibri" w:eastAsia="方正小标宋简体" w:cs="宋体"/>
      <w:bCs/>
      <w:kern w:val="44"/>
      <w:sz w:val="44"/>
      <w:szCs w:val="44"/>
    </w:rPr>
  </w:style>
  <w:style w:type="character" w:customStyle="1" w:styleId="44">
    <w:name w:val="标题 2 Char"/>
    <w:basedOn w:val="35"/>
    <w:link w:val="3"/>
    <w:qFormat/>
    <w:uiPriority w:val="0"/>
    <w:rPr>
      <w:rFonts w:ascii="Arial" w:hAnsi="Arial" w:eastAsia="黑体" w:cs="Times New Roman"/>
      <w:bCs/>
    </w:rPr>
  </w:style>
  <w:style w:type="character" w:customStyle="1" w:styleId="45">
    <w:name w:val="标题 3 Char"/>
    <w:basedOn w:val="35"/>
    <w:link w:val="4"/>
    <w:qFormat/>
    <w:uiPriority w:val="0"/>
    <w:rPr>
      <w:rFonts w:hAnsi="Times New Roman" w:eastAsia="楷体_GB2312" w:cs="Times New Roman"/>
      <w:bCs/>
    </w:rPr>
  </w:style>
  <w:style w:type="character" w:customStyle="1" w:styleId="46">
    <w:name w:val="标题 4 Char"/>
    <w:basedOn w:val="35"/>
    <w:link w:val="5"/>
    <w:qFormat/>
    <w:uiPriority w:val="0"/>
    <w:rPr>
      <w:rFonts w:ascii="Arial" w:hAnsi="Arial" w:eastAsia="黑体" w:cs="Times New Roman"/>
      <w:b/>
      <w:bCs/>
      <w:sz w:val="28"/>
      <w:szCs w:val="28"/>
    </w:rPr>
  </w:style>
  <w:style w:type="character" w:customStyle="1" w:styleId="47">
    <w:name w:val="页眉 Char"/>
    <w:basedOn w:val="35"/>
    <w:link w:val="21"/>
    <w:qFormat/>
    <w:uiPriority w:val="0"/>
    <w:rPr>
      <w:sz w:val="18"/>
      <w:szCs w:val="18"/>
    </w:rPr>
  </w:style>
  <w:style w:type="character" w:customStyle="1" w:styleId="48">
    <w:name w:val="页脚 Char"/>
    <w:basedOn w:val="35"/>
    <w:link w:val="20"/>
    <w:qFormat/>
    <w:uiPriority w:val="99"/>
    <w:rPr>
      <w:sz w:val="18"/>
      <w:szCs w:val="18"/>
    </w:rPr>
  </w:style>
  <w:style w:type="character" w:customStyle="1" w:styleId="49">
    <w:name w:val="批注框文本 Char"/>
    <w:basedOn w:val="35"/>
    <w:link w:val="19"/>
    <w:qFormat/>
    <w:uiPriority w:val="0"/>
    <w:rPr>
      <w:sz w:val="18"/>
      <w:szCs w:val="18"/>
    </w:rPr>
  </w:style>
  <w:style w:type="character" w:customStyle="1" w:styleId="50">
    <w:name w:val="日期 Char"/>
    <w:basedOn w:val="35"/>
    <w:link w:val="17"/>
    <w:qFormat/>
    <w:uiPriority w:val="99"/>
  </w:style>
  <w:style w:type="paragraph" w:styleId="51">
    <w:name w:val="List Paragraph"/>
    <w:basedOn w:val="1"/>
    <w:qFormat/>
    <w:uiPriority w:val="0"/>
    <w:pPr>
      <w:ind w:firstLine="420" w:firstLineChars="200"/>
    </w:pPr>
  </w:style>
  <w:style w:type="character" w:customStyle="1" w:styleId="52">
    <w:name w:val="文档结构图 Char"/>
    <w:basedOn w:val="35"/>
    <w:link w:val="9"/>
    <w:qFormat/>
    <w:uiPriority w:val="99"/>
    <w:rPr>
      <w:rFonts w:ascii="Calibri" w:hAnsi="Calibri" w:cs="Times New Roman"/>
      <w:sz w:val="24"/>
      <w:shd w:val="clear" w:color="auto" w:fill="000080"/>
    </w:rPr>
  </w:style>
  <w:style w:type="character" w:customStyle="1" w:styleId="53">
    <w:name w:val="批注文字 Char"/>
    <w:basedOn w:val="35"/>
    <w:link w:val="10"/>
    <w:qFormat/>
    <w:uiPriority w:val="99"/>
    <w:rPr>
      <w:rFonts w:ascii="Calibri" w:hAnsi="Calibri" w:cs="Times New Roman"/>
    </w:rPr>
  </w:style>
  <w:style w:type="character" w:customStyle="1" w:styleId="54">
    <w:name w:val="称呼 Char"/>
    <w:basedOn w:val="35"/>
    <w:link w:val="11"/>
    <w:uiPriority w:val="0"/>
    <w:rPr>
      <w:rFonts w:hAnsi="Times New Roman" w:cs="Times New Roman"/>
    </w:rPr>
  </w:style>
  <w:style w:type="character" w:customStyle="1" w:styleId="55">
    <w:name w:val="结束语 Char"/>
    <w:basedOn w:val="35"/>
    <w:link w:val="12"/>
    <w:qFormat/>
    <w:uiPriority w:val="0"/>
    <w:rPr>
      <w:rFonts w:ascii="仿宋" w:hAnsi="仿宋" w:eastAsia="仿宋" w:cs="仿宋"/>
    </w:rPr>
  </w:style>
  <w:style w:type="character" w:customStyle="1" w:styleId="56">
    <w:name w:val="正文文本 Char"/>
    <w:basedOn w:val="35"/>
    <w:link w:val="13"/>
    <w:qFormat/>
    <w:uiPriority w:val="99"/>
    <w:rPr>
      <w:rFonts w:hAnsi="Times New Roman" w:cs="Times New Roman"/>
      <w:sz w:val="44"/>
      <w:lang w:val="zh-CN"/>
    </w:rPr>
  </w:style>
  <w:style w:type="character" w:customStyle="1" w:styleId="57">
    <w:name w:val="正文文本缩进 Char"/>
    <w:basedOn w:val="35"/>
    <w:link w:val="14"/>
    <w:qFormat/>
    <w:uiPriority w:val="0"/>
    <w:rPr>
      <w:rFonts w:hAnsi="Times New Roman" w:cs="Times New Roman"/>
      <w:sz w:val="30"/>
      <w:lang w:val="zh-CN"/>
    </w:rPr>
  </w:style>
  <w:style w:type="character" w:customStyle="1" w:styleId="58">
    <w:name w:val="纯文本 Char"/>
    <w:basedOn w:val="35"/>
    <w:link w:val="16"/>
    <w:qFormat/>
    <w:uiPriority w:val="0"/>
    <w:rPr>
      <w:rFonts w:ascii="宋体" w:hAnsi="Courier New" w:eastAsia="宋体" w:cs="Times New Roman"/>
      <w:sz w:val="21"/>
      <w:szCs w:val="21"/>
    </w:rPr>
  </w:style>
  <w:style w:type="character" w:customStyle="1" w:styleId="59">
    <w:name w:val="正文文本缩进 2 Char"/>
    <w:basedOn w:val="35"/>
    <w:link w:val="18"/>
    <w:qFormat/>
    <w:uiPriority w:val="0"/>
    <w:rPr>
      <w:rFonts w:hAnsi="Times New Roman" w:cs="Times New Roman"/>
    </w:rPr>
  </w:style>
  <w:style w:type="character" w:customStyle="1" w:styleId="60">
    <w:name w:val="副标题 Char"/>
    <w:basedOn w:val="35"/>
    <w:link w:val="23"/>
    <w:qFormat/>
    <w:uiPriority w:val="0"/>
    <w:rPr>
      <w:rFonts w:ascii="Cambria" w:hAnsi="Cambria" w:cs="Times New Roman"/>
      <w:b/>
      <w:bCs/>
      <w:kern w:val="28"/>
    </w:rPr>
  </w:style>
  <w:style w:type="character" w:customStyle="1" w:styleId="61">
    <w:name w:val="脚注文本 Char"/>
    <w:basedOn w:val="35"/>
    <w:link w:val="24"/>
    <w:qFormat/>
    <w:uiPriority w:val="99"/>
    <w:rPr>
      <w:rFonts w:ascii="Calibri" w:hAnsi="Calibri" w:cs="宋体"/>
      <w:sz w:val="18"/>
      <w:szCs w:val="18"/>
    </w:rPr>
  </w:style>
  <w:style w:type="character" w:customStyle="1" w:styleId="62">
    <w:name w:val="正文文本缩进 3 Char"/>
    <w:basedOn w:val="35"/>
    <w:link w:val="25"/>
    <w:uiPriority w:val="0"/>
    <w:rPr>
      <w:rFonts w:hAnsi="Times New Roman" w:cs="Times New Roman"/>
    </w:rPr>
  </w:style>
  <w:style w:type="character" w:customStyle="1" w:styleId="63">
    <w:name w:val="正文文本 2 Char"/>
    <w:basedOn w:val="35"/>
    <w:link w:val="27"/>
    <w:uiPriority w:val="0"/>
    <w:rPr>
      <w:rFonts w:hAnsi="Times New Roman" w:cs="Times New Roman"/>
    </w:rPr>
  </w:style>
  <w:style w:type="character" w:customStyle="1" w:styleId="64">
    <w:name w:val="HTML 预设格式 Char"/>
    <w:basedOn w:val="35"/>
    <w:link w:val="28"/>
    <w:qFormat/>
    <w:uiPriority w:val="0"/>
    <w:rPr>
      <w:rFonts w:ascii="Arial" w:hAnsi="Arial" w:eastAsia="宋体" w:cs="Arial"/>
      <w:kern w:val="0"/>
      <w:sz w:val="24"/>
      <w:szCs w:val="24"/>
    </w:rPr>
  </w:style>
  <w:style w:type="character" w:customStyle="1" w:styleId="65">
    <w:name w:val="标题 Char"/>
    <w:basedOn w:val="35"/>
    <w:link w:val="30"/>
    <w:qFormat/>
    <w:uiPriority w:val="0"/>
    <w:rPr>
      <w:rFonts w:ascii="Cambria" w:hAnsi="Cambria" w:eastAsia="方正小标宋简体" w:cs="宋体"/>
      <w:bCs/>
      <w:sz w:val="44"/>
    </w:rPr>
  </w:style>
  <w:style w:type="character" w:customStyle="1" w:styleId="66">
    <w:name w:val="批注主题 Char"/>
    <w:basedOn w:val="53"/>
    <w:link w:val="31"/>
    <w:qFormat/>
    <w:uiPriority w:val="99"/>
    <w:rPr>
      <w:rFonts w:ascii="Tahoma" w:hAnsi="Tahoma" w:eastAsia="微软雅黑" w:cs="宋体"/>
      <w:b/>
      <w:bCs/>
      <w:sz w:val="22"/>
      <w:szCs w:val="22"/>
    </w:rPr>
  </w:style>
  <w:style w:type="character" w:customStyle="1" w:styleId="67">
    <w:name w:val="正文首行缩进 Char"/>
    <w:basedOn w:val="56"/>
    <w:link w:val="32"/>
    <w:qFormat/>
    <w:uiPriority w:val="99"/>
    <w:rPr>
      <w:rFonts w:ascii="Calibri" w:hAnsi="Calibri" w:eastAsia="宋体" w:cs="Times New Roman"/>
      <w:sz w:val="21"/>
      <w:szCs w:val="24"/>
      <w:lang w:val="zh-CN"/>
    </w:rPr>
  </w:style>
  <w:style w:type="paragraph" w:customStyle="1" w:styleId="68">
    <w:name w:val="head"/>
    <w:basedOn w:val="1"/>
    <w:qFormat/>
    <w:uiPriority w:val="0"/>
    <w:pPr>
      <w:spacing w:before="100" w:beforeAutospacing="1" w:after="100" w:afterAutospacing="1" w:line="400" w:lineRule="atLeast"/>
      <w:ind w:firstLine="200" w:firstLineChars="200"/>
      <w:jc w:val="left"/>
    </w:pPr>
    <w:rPr>
      <w:rFonts w:ascii="宋体" w:hAnsi="宋体" w:cs="Times New Roman"/>
      <w:color w:val="000000"/>
      <w:kern w:val="0"/>
      <w:sz w:val="28"/>
      <w:szCs w:val="28"/>
    </w:rPr>
  </w:style>
  <w:style w:type="character" w:customStyle="1" w:styleId="69">
    <w:name w:val="lions21"/>
    <w:qFormat/>
    <w:uiPriority w:val="0"/>
    <w:rPr>
      <w:rFonts w:hint="default" w:eastAsia="宋体"/>
      <w:kern w:val="2"/>
      <w:sz w:val="18"/>
      <w:szCs w:val="18"/>
      <w:lang w:val="en-US" w:eastAsia="zh-CN" w:bidi="ar-SA"/>
    </w:rPr>
  </w:style>
  <w:style w:type="paragraph" w:customStyle="1" w:styleId="70">
    <w:name w:val="ycr标题"/>
    <w:basedOn w:val="1"/>
    <w:qFormat/>
    <w:uiPriority w:val="0"/>
    <w:pPr>
      <w:spacing w:line="580" w:lineRule="exact"/>
      <w:ind w:firstLine="200" w:firstLineChars="200"/>
      <w:jc w:val="center"/>
    </w:pPr>
    <w:rPr>
      <w:rFonts w:hAnsi="Times New Roman" w:eastAsia="黑体" w:cs="Times New Roman"/>
      <w:b/>
      <w:sz w:val="44"/>
    </w:rPr>
  </w:style>
  <w:style w:type="character" w:customStyle="1" w:styleId="71">
    <w:name w:val="style31"/>
    <w:qFormat/>
    <w:uiPriority w:val="0"/>
    <w:rPr>
      <w:rFonts w:eastAsia="宋体"/>
      <w:color w:val="006699"/>
      <w:kern w:val="2"/>
      <w:sz w:val="24"/>
      <w:szCs w:val="24"/>
      <w:lang w:val="en-US" w:eastAsia="zh-CN" w:bidi="ar-SA"/>
    </w:rPr>
  </w:style>
  <w:style w:type="paragraph" w:customStyle="1" w:styleId="72">
    <w:name w:val="Char"/>
    <w:basedOn w:val="1"/>
    <w:qFormat/>
    <w:uiPriority w:val="0"/>
    <w:pPr>
      <w:numPr>
        <w:ilvl w:val="0"/>
        <w:numId w:val="1"/>
      </w:numPr>
      <w:tabs>
        <w:tab w:val="left" w:pos="1785"/>
        <w:tab w:val="clear" w:pos="450"/>
      </w:tabs>
      <w:spacing w:line="580" w:lineRule="exact"/>
      <w:ind w:left="1785" w:hanging="1185" w:firstLineChars="200"/>
    </w:pPr>
    <w:rPr>
      <w:rFonts w:hAnsi="Times New Roman" w:cs="Times New Roman"/>
      <w:sz w:val="24"/>
    </w:rPr>
  </w:style>
  <w:style w:type="character" w:customStyle="1" w:styleId="73">
    <w:name w:val="text"/>
    <w:basedOn w:val="35"/>
    <w:qFormat/>
    <w:uiPriority w:val="0"/>
    <w:rPr>
      <w:rFonts w:eastAsia="宋体"/>
      <w:kern w:val="2"/>
      <w:sz w:val="24"/>
      <w:szCs w:val="24"/>
      <w:lang w:val="en-US" w:eastAsia="zh-CN" w:bidi="ar-SA"/>
    </w:rPr>
  </w:style>
  <w:style w:type="character" w:customStyle="1" w:styleId="74">
    <w:name w:val="defaultfont1"/>
    <w:basedOn w:val="35"/>
    <w:qFormat/>
    <w:uiPriority w:val="0"/>
    <w:rPr>
      <w:rFonts w:eastAsia="宋体"/>
      <w:kern w:val="2"/>
      <w:sz w:val="24"/>
      <w:szCs w:val="24"/>
      <w:lang w:val="en-US" w:eastAsia="zh-CN" w:bidi="ar-SA"/>
    </w:rPr>
  </w:style>
  <w:style w:type="paragraph" w:customStyle="1" w:styleId="75">
    <w:name w:val="Data Field"/>
    <w:qFormat/>
    <w:uiPriority w:val="0"/>
    <w:pPr>
      <w:widowControl w:val="0"/>
      <w:spacing w:line="590" w:lineRule="exact"/>
      <w:jc w:val="both"/>
    </w:pPr>
    <w:rPr>
      <w:rFonts w:ascii="Arial" w:hAnsi="Arial" w:eastAsia="仿宋_GB2312" w:cs="Arial"/>
      <w:spacing w:val="-4"/>
      <w:kern w:val="2"/>
      <w:sz w:val="22"/>
      <w:szCs w:val="22"/>
      <w:lang w:val="en-US" w:eastAsia="en-US" w:bidi="ar-SA"/>
    </w:rPr>
  </w:style>
  <w:style w:type="character" w:customStyle="1" w:styleId="76">
    <w:name w:val="apple-style-span"/>
    <w:basedOn w:val="35"/>
    <w:qFormat/>
    <w:uiPriority w:val="0"/>
    <w:rPr>
      <w:rFonts w:eastAsia="宋体"/>
      <w:kern w:val="2"/>
      <w:sz w:val="24"/>
      <w:szCs w:val="24"/>
      <w:lang w:val="en-US" w:eastAsia="zh-CN" w:bidi="ar-SA"/>
    </w:rPr>
  </w:style>
  <w:style w:type="paragraph" w:customStyle="1" w:styleId="77">
    <w:name w:val="Char Char1 Char Char Char Char Char Char Char"/>
    <w:basedOn w:val="1"/>
    <w:qFormat/>
    <w:uiPriority w:val="0"/>
    <w:pPr>
      <w:spacing w:after="160" w:line="240" w:lineRule="exact"/>
      <w:ind w:firstLine="200" w:firstLineChars="200"/>
      <w:jc w:val="left"/>
    </w:pPr>
    <w:rPr>
      <w:rFonts w:hAnsi="Times New Roman" w:cs="Times New Roman"/>
      <w:szCs w:val="20"/>
    </w:rPr>
  </w:style>
  <w:style w:type="paragraph" w:customStyle="1" w:styleId="78">
    <w:name w:val="附件"/>
    <w:basedOn w:val="1"/>
    <w:qFormat/>
    <w:uiPriority w:val="0"/>
    <w:pPr>
      <w:spacing w:line="580" w:lineRule="exact"/>
      <w:ind w:left="1638" w:hanging="1016" w:firstLineChars="200"/>
    </w:pPr>
    <w:rPr>
      <w:rFonts w:hAnsi="Times New Roman" w:cs="Times New Roman"/>
      <w:szCs w:val="20"/>
    </w:rPr>
  </w:style>
  <w:style w:type="character" w:customStyle="1" w:styleId="79">
    <w:name w:val="Char Char1"/>
    <w:qFormat/>
    <w:uiPriority w:val="0"/>
    <w:rPr>
      <w:rFonts w:eastAsia="宋体"/>
      <w:b/>
      <w:bCs/>
      <w:kern w:val="2"/>
      <w:sz w:val="32"/>
      <w:szCs w:val="32"/>
      <w:lang w:val="en-US" w:eastAsia="zh-CN" w:bidi="ar-SA"/>
    </w:rPr>
  </w:style>
  <w:style w:type="paragraph" w:customStyle="1" w:styleId="80">
    <w:name w:val="默认段落字体 Para Char Char Char Char Char Char Char"/>
    <w:basedOn w:val="1"/>
    <w:qFormat/>
    <w:uiPriority w:val="0"/>
    <w:pPr>
      <w:spacing w:line="580" w:lineRule="exact"/>
      <w:ind w:firstLine="200" w:firstLineChars="200"/>
    </w:pPr>
    <w:rPr>
      <w:rFonts w:ascii="Tahoma" w:hAnsi="Tahoma" w:cs="Times New Roman"/>
      <w:sz w:val="24"/>
      <w:szCs w:val="20"/>
    </w:rPr>
  </w:style>
  <w:style w:type="character" w:customStyle="1" w:styleId="81">
    <w:name w:val="Heading 2 Char"/>
    <w:qFormat/>
    <w:locked/>
    <w:uiPriority w:val="0"/>
    <w:rPr>
      <w:rFonts w:ascii="Arial" w:hAnsi="Arial" w:eastAsia="黑体"/>
      <w:b/>
      <w:sz w:val="32"/>
    </w:rPr>
  </w:style>
  <w:style w:type="character" w:customStyle="1" w:styleId="82">
    <w:name w:val="listurl1"/>
    <w:qFormat/>
    <w:uiPriority w:val="0"/>
    <w:rPr>
      <w:rFonts w:eastAsia="宋体"/>
      <w:color w:val="001C41"/>
      <w:kern w:val="2"/>
      <w:sz w:val="22"/>
      <w:szCs w:val="22"/>
      <w:u w:val="single"/>
      <w:lang w:val="en-US" w:eastAsia="zh-CN" w:bidi="ar-SA"/>
    </w:rPr>
  </w:style>
  <w:style w:type="paragraph" w:customStyle="1" w:styleId="83">
    <w:name w:val="Default"/>
    <w:qFormat/>
    <w:uiPriority w:val="0"/>
    <w:pPr>
      <w:widowControl w:val="0"/>
      <w:autoSpaceDE w:val="0"/>
      <w:autoSpaceDN w:val="0"/>
      <w:adjustRightInd w:val="0"/>
      <w:spacing w:line="590" w:lineRule="exact"/>
      <w:jc w:val="both"/>
    </w:pPr>
    <w:rPr>
      <w:rFonts w:ascii="宋体" w:hAnsi="Calibri" w:eastAsia="仿宋_GB2312" w:cs="宋体"/>
      <w:color w:val="000000"/>
      <w:spacing w:val="-4"/>
      <w:kern w:val="2"/>
      <w:sz w:val="24"/>
      <w:szCs w:val="24"/>
      <w:lang w:val="en-US" w:eastAsia="zh-CN" w:bidi="ar-SA"/>
    </w:rPr>
  </w:style>
  <w:style w:type="paragraph" w:customStyle="1" w:styleId="84">
    <w:name w:val="p0"/>
    <w:basedOn w:val="1"/>
    <w:qFormat/>
    <w:uiPriority w:val="99"/>
    <w:pPr>
      <w:spacing w:line="580" w:lineRule="exact"/>
      <w:ind w:firstLine="200" w:firstLineChars="200"/>
    </w:pPr>
    <w:rPr>
      <w:rFonts w:ascii="Calibri" w:hAnsi="Calibri" w:cs="宋体"/>
      <w:kern w:val="0"/>
      <w:szCs w:val="21"/>
    </w:rPr>
  </w:style>
  <w:style w:type="paragraph" w:customStyle="1" w:styleId="85">
    <w:name w:val="文件大标题"/>
    <w:basedOn w:val="1"/>
    <w:next w:val="1"/>
    <w:qFormat/>
    <w:uiPriority w:val="0"/>
    <w:pPr>
      <w:spacing w:beforeLines="50" w:afterLines="50" w:line="560" w:lineRule="exact"/>
      <w:ind w:firstLine="200" w:firstLineChars="200"/>
      <w:jc w:val="center"/>
      <w:outlineLvl w:val="0"/>
    </w:pPr>
    <w:rPr>
      <w:rFonts w:ascii="Arial Black" w:hAnsi="Arial Black" w:eastAsia="华文中宋" w:cs="Times New Roman"/>
      <w:b/>
      <w:spacing w:val="16"/>
      <w:sz w:val="44"/>
    </w:rPr>
  </w:style>
  <w:style w:type="paragraph" w:customStyle="1" w:styleId="86">
    <w:name w:val="列出段落1"/>
    <w:basedOn w:val="1"/>
    <w:qFormat/>
    <w:uiPriority w:val="0"/>
    <w:pPr>
      <w:spacing w:line="580" w:lineRule="exact"/>
      <w:ind w:firstLine="420" w:firstLineChars="200"/>
    </w:pPr>
    <w:rPr>
      <w:rFonts w:ascii="Calibri" w:hAnsi="Calibri" w:cs="Times New Roman"/>
      <w:szCs w:val="22"/>
    </w:rPr>
  </w:style>
  <w:style w:type="paragraph" w:customStyle="1" w:styleId="87">
    <w:name w:val="List Paragraph1"/>
    <w:basedOn w:val="1"/>
    <w:qFormat/>
    <w:uiPriority w:val="34"/>
    <w:pPr>
      <w:spacing w:line="580" w:lineRule="exact"/>
      <w:ind w:firstLine="420" w:firstLineChars="200"/>
    </w:pPr>
    <w:rPr>
      <w:rFonts w:hAnsi="Times New Roman" w:cs="Times New Roman"/>
      <w:szCs w:val="20"/>
    </w:rPr>
  </w:style>
  <w:style w:type="paragraph" w:customStyle="1" w:styleId="88">
    <w:name w:val="List Paragraph2"/>
    <w:basedOn w:val="1"/>
    <w:qFormat/>
    <w:uiPriority w:val="0"/>
    <w:pPr>
      <w:spacing w:line="580" w:lineRule="exact"/>
      <w:ind w:firstLine="420" w:firstLineChars="200"/>
    </w:pPr>
    <w:rPr>
      <w:rFonts w:ascii="Calibri" w:hAnsi="Calibri" w:cs="Times New Roman"/>
      <w:szCs w:val="22"/>
    </w:rPr>
  </w:style>
  <w:style w:type="paragraph" w:customStyle="1" w:styleId="89">
    <w:name w:val="正文 A"/>
    <w:qFormat/>
    <w:uiPriority w:val="0"/>
    <w:pPr>
      <w:widowControl w:val="0"/>
      <w:pBdr>
        <w:top w:val="none" w:color="FFFFFF" w:sz="0" w:space="31"/>
        <w:left w:val="none" w:color="FFFFFF" w:sz="0" w:space="31"/>
        <w:bottom w:val="none" w:color="FFFFFF" w:sz="0" w:space="31"/>
        <w:right w:val="none" w:color="FFFFFF" w:sz="0" w:space="31"/>
      </w:pBdr>
      <w:spacing w:line="590" w:lineRule="exact"/>
      <w:jc w:val="both"/>
    </w:pPr>
    <w:rPr>
      <w:rFonts w:ascii="Calibri" w:hAnsi="Calibri" w:eastAsia="仿宋_GB2312" w:cs="Calibri"/>
      <w:color w:val="000000"/>
      <w:spacing w:val="-4"/>
      <w:kern w:val="2"/>
      <w:sz w:val="21"/>
      <w:szCs w:val="21"/>
      <w:u w:color="000000"/>
      <w:lang w:val="en-US" w:eastAsia="zh-CN" w:bidi="ar-SA"/>
    </w:rPr>
  </w:style>
  <w:style w:type="character" w:customStyle="1" w:styleId="90">
    <w:name w:val="abtflag"/>
    <w:qFormat/>
    <w:uiPriority w:val="99"/>
    <w:rPr>
      <w:rFonts w:eastAsia="宋体" w:cs="Times New Roman"/>
      <w:kern w:val="2"/>
      <w:sz w:val="24"/>
      <w:szCs w:val="24"/>
      <w:lang w:val="en-US" w:eastAsia="zh-CN" w:bidi="ar-SA"/>
    </w:rPr>
  </w:style>
  <w:style w:type="paragraph" w:customStyle="1" w:styleId="91">
    <w:name w:val="文件标题"/>
    <w:basedOn w:val="1"/>
    <w:qFormat/>
    <w:uiPriority w:val="0"/>
    <w:pPr>
      <w:spacing w:line="540" w:lineRule="exact"/>
      <w:ind w:firstLine="200" w:firstLineChars="200"/>
      <w:jc w:val="center"/>
    </w:pPr>
    <w:rPr>
      <w:rFonts w:hAnsi="Times New Roman" w:cs="Times New Roman"/>
      <w:b/>
      <w:sz w:val="36"/>
      <w:szCs w:val="20"/>
    </w:rPr>
  </w:style>
  <w:style w:type="paragraph" w:customStyle="1" w:styleId="92">
    <w:name w:val="No Spacing1"/>
    <w:qFormat/>
    <w:uiPriority w:val="1"/>
    <w:pPr>
      <w:widowControl w:val="0"/>
      <w:spacing w:line="590" w:lineRule="exact"/>
      <w:jc w:val="both"/>
    </w:pPr>
    <w:rPr>
      <w:rFonts w:ascii="Calibri" w:hAnsi="Calibri" w:eastAsia="仿宋_GB2312" w:cs="黑体"/>
      <w:spacing w:val="-4"/>
      <w:kern w:val="2"/>
      <w:sz w:val="21"/>
      <w:szCs w:val="22"/>
      <w:lang w:val="en-US" w:eastAsia="zh-CN" w:bidi="ar-SA"/>
    </w:rPr>
  </w:style>
  <w:style w:type="character" w:customStyle="1" w:styleId="93">
    <w:name w:val="文档结构图 Char1"/>
    <w:qFormat/>
    <w:uiPriority w:val="0"/>
    <w:rPr>
      <w:rFonts w:ascii="Microsoft YaHei UI" w:eastAsia="Microsoft YaHei UI"/>
      <w:kern w:val="2"/>
      <w:sz w:val="18"/>
      <w:szCs w:val="18"/>
      <w:lang w:val="en-US" w:eastAsia="zh-CN" w:bidi="ar-SA"/>
    </w:rPr>
  </w:style>
  <w:style w:type="paragraph" w:customStyle="1" w:styleId="94">
    <w:name w:val="..表"/>
    <w:basedOn w:val="1"/>
    <w:link w:val="95"/>
    <w:qFormat/>
    <w:uiPriority w:val="0"/>
    <w:pPr>
      <w:keepNext/>
      <w:keepLines/>
      <w:spacing w:before="240" w:after="64" w:line="319" w:lineRule="auto"/>
      <w:ind w:firstLine="200" w:firstLineChars="200"/>
      <w:jc w:val="center"/>
      <w:outlineLvl w:val="6"/>
    </w:pPr>
    <w:rPr>
      <w:rFonts w:hAnsi="Times New Roman" w:eastAsia="楷体" w:cs="Times New Roman"/>
      <w:b/>
      <w:bCs/>
      <w:color w:val="000000"/>
      <w:sz w:val="24"/>
      <w:szCs w:val="21"/>
    </w:rPr>
  </w:style>
  <w:style w:type="character" w:customStyle="1" w:styleId="95">
    <w:name w:val="..表 Char"/>
    <w:link w:val="94"/>
    <w:qFormat/>
    <w:uiPriority w:val="0"/>
    <w:rPr>
      <w:rFonts w:hAnsi="Times New Roman" w:eastAsia="楷体" w:cs="Times New Roman"/>
      <w:b/>
      <w:bCs/>
      <w:color w:val="000000"/>
      <w:sz w:val="24"/>
      <w:szCs w:val="21"/>
    </w:rPr>
  </w:style>
  <w:style w:type="paragraph" w:customStyle="1" w:styleId="96">
    <w:name w:val="..图"/>
    <w:basedOn w:val="1"/>
    <w:link w:val="97"/>
    <w:qFormat/>
    <w:uiPriority w:val="0"/>
    <w:pPr>
      <w:keepLines/>
      <w:spacing w:before="60" w:after="240" w:line="319" w:lineRule="auto"/>
      <w:ind w:firstLine="200" w:firstLineChars="200"/>
      <w:jc w:val="center"/>
      <w:outlineLvl w:val="7"/>
    </w:pPr>
    <w:rPr>
      <w:rFonts w:hAnsi="Times New Roman" w:eastAsia="楷体" w:cs="Times New Roman"/>
      <w:b/>
      <w:bCs/>
      <w:color w:val="000000"/>
      <w:sz w:val="24"/>
      <w:szCs w:val="21"/>
    </w:rPr>
  </w:style>
  <w:style w:type="character" w:customStyle="1" w:styleId="97">
    <w:name w:val="..图 Char"/>
    <w:link w:val="96"/>
    <w:qFormat/>
    <w:uiPriority w:val="0"/>
    <w:rPr>
      <w:rFonts w:hAnsi="Times New Roman" w:eastAsia="楷体" w:cs="Times New Roman"/>
      <w:b/>
      <w:bCs/>
      <w:color w:val="000000"/>
      <w:sz w:val="24"/>
      <w:szCs w:val="21"/>
    </w:rPr>
  </w:style>
  <w:style w:type="paragraph" w:customStyle="1" w:styleId="98">
    <w:name w:val=".第（1）节"/>
    <w:basedOn w:val="1"/>
    <w:link w:val="99"/>
    <w:qFormat/>
    <w:uiPriority w:val="0"/>
    <w:pPr>
      <w:keepNext/>
      <w:keepLines/>
      <w:spacing w:beforeLines="100" w:line="360" w:lineRule="auto"/>
      <w:ind w:firstLine="200" w:firstLineChars="200"/>
      <w:outlineLvl w:val="4"/>
    </w:pPr>
    <w:rPr>
      <w:rFonts w:hAnsi="Times New Roman" w:eastAsia="楷体" w:cs="Times New Roman"/>
      <w:b/>
      <w:sz w:val="24"/>
      <w:szCs w:val="22"/>
    </w:rPr>
  </w:style>
  <w:style w:type="character" w:customStyle="1" w:styleId="99">
    <w:name w:val=".第（1）节 Char"/>
    <w:link w:val="98"/>
    <w:qFormat/>
    <w:uiPriority w:val="0"/>
    <w:rPr>
      <w:rFonts w:hAnsi="Times New Roman" w:eastAsia="楷体" w:cs="Times New Roman"/>
      <w:b/>
      <w:sz w:val="24"/>
      <w:szCs w:val="22"/>
    </w:rPr>
  </w:style>
  <w:style w:type="paragraph" w:customStyle="1" w:styleId="100">
    <w:name w:val=".第1.1.1节"/>
    <w:basedOn w:val="1"/>
    <w:link w:val="101"/>
    <w:qFormat/>
    <w:uiPriority w:val="0"/>
    <w:pPr>
      <w:keepNext/>
      <w:keepLines/>
      <w:spacing w:beforeLines="50" w:afterLines="50" w:line="480" w:lineRule="exact"/>
      <w:ind w:firstLine="200" w:firstLineChars="200"/>
      <w:outlineLvl w:val="3"/>
    </w:pPr>
    <w:rPr>
      <w:rFonts w:hAnsi="Times New Roman" w:eastAsia="黑体" w:cs="Times New Roman"/>
      <w:b/>
      <w:sz w:val="28"/>
      <w:szCs w:val="22"/>
    </w:rPr>
  </w:style>
  <w:style w:type="character" w:customStyle="1" w:styleId="101">
    <w:name w:val=".第1.1.1节 Char"/>
    <w:link w:val="100"/>
    <w:qFormat/>
    <w:uiPriority w:val="0"/>
    <w:rPr>
      <w:rFonts w:hAnsi="Times New Roman" w:eastAsia="黑体" w:cs="Times New Roman"/>
      <w:b/>
      <w:sz w:val="28"/>
      <w:szCs w:val="22"/>
    </w:rPr>
  </w:style>
  <w:style w:type="paragraph" w:customStyle="1" w:styleId="102">
    <w:name w:val=".第1.1节"/>
    <w:basedOn w:val="1"/>
    <w:link w:val="103"/>
    <w:qFormat/>
    <w:uiPriority w:val="0"/>
    <w:pPr>
      <w:keepNext/>
      <w:keepLines/>
      <w:spacing w:beforeLines="100" w:afterLines="100" w:line="480" w:lineRule="exact"/>
      <w:ind w:firstLine="200" w:firstLineChars="200"/>
      <w:outlineLvl w:val="2"/>
    </w:pPr>
    <w:rPr>
      <w:rFonts w:hAnsi="Times New Roman" w:cs="Times New Roman"/>
      <w:b/>
      <w:szCs w:val="22"/>
    </w:rPr>
  </w:style>
  <w:style w:type="character" w:customStyle="1" w:styleId="103">
    <w:name w:val=".第1.1节 Char"/>
    <w:link w:val="102"/>
    <w:qFormat/>
    <w:uiPriority w:val="0"/>
    <w:rPr>
      <w:rFonts w:hAnsi="Times New Roman" w:cs="Times New Roman"/>
      <w:b/>
      <w:szCs w:val="22"/>
    </w:rPr>
  </w:style>
  <w:style w:type="paragraph" w:customStyle="1" w:styleId="104">
    <w:name w:val=".第1节"/>
    <w:basedOn w:val="1"/>
    <w:link w:val="105"/>
    <w:qFormat/>
    <w:uiPriority w:val="0"/>
    <w:pPr>
      <w:keepNext/>
      <w:keepLines/>
      <w:spacing w:beforeLines="100" w:afterLines="100" w:line="480" w:lineRule="exact"/>
      <w:ind w:firstLine="200" w:firstLineChars="200"/>
      <w:outlineLvl w:val="1"/>
    </w:pPr>
    <w:rPr>
      <w:rFonts w:hAnsi="Times New Roman" w:eastAsia="黑体" w:cs="Times New Roman"/>
      <w:b/>
      <w:sz w:val="36"/>
      <w:szCs w:val="22"/>
    </w:rPr>
  </w:style>
  <w:style w:type="character" w:customStyle="1" w:styleId="105">
    <w:name w:val=".第1节 Char"/>
    <w:link w:val="104"/>
    <w:qFormat/>
    <w:uiPriority w:val="0"/>
    <w:rPr>
      <w:rFonts w:hAnsi="Times New Roman" w:eastAsia="黑体" w:cs="Times New Roman"/>
      <w:b/>
      <w:sz w:val="36"/>
      <w:szCs w:val="22"/>
    </w:rPr>
  </w:style>
  <w:style w:type="paragraph" w:customStyle="1" w:styleId="106">
    <w:name w:val=".段落正文"/>
    <w:basedOn w:val="1"/>
    <w:link w:val="107"/>
    <w:qFormat/>
    <w:uiPriority w:val="0"/>
    <w:pPr>
      <w:spacing w:afterLines="50" w:line="400" w:lineRule="exact"/>
      <w:ind w:firstLine="480" w:firstLineChars="200"/>
    </w:pPr>
    <w:rPr>
      <w:rFonts w:hAnsi="Times New Roman" w:cs="Times New Roman"/>
      <w:sz w:val="24"/>
      <w:szCs w:val="22"/>
    </w:rPr>
  </w:style>
  <w:style w:type="character" w:customStyle="1" w:styleId="107">
    <w:name w:val=".段落正文 Char"/>
    <w:link w:val="106"/>
    <w:qFormat/>
    <w:uiPriority w:val="0"/>
    <w:rPr>
      <w:rFonts w:hAnsi="Times New Roman" w:cs="Times New Roman"/>
      <w:sz w:val="24"/>
      <w:szCs w:val="22"/>
    </w:rPr>
  </w:style>
  <w:style w:type="paragraph" w:customStyle="1" w:styleId="108">
    <w:name w:val=".访谈文本"/>
    <w:basedOn w:val="1"/>
    <w:link w:val="109"/>
    <w:qFormat/>
    <w:uiPriority w:val="0"/>
    <w:pPr>
      <w:spacing w:afterLines="50" w:line="300" w:lineRule="auto"/>
      <w:ind w:firstLine="480" w:firstLineChars="200"/>
    </w:pPr>
    <w:rPr>
      <w:rFonts w:hAnsi="Times New Roman" w:eastAsia="楷体" w:cs="Times New Roman"/>
      <w:sz w:val="24"/>
      <w:szCs w:val="22"/>
    </w:rPr>
  </w:style>
  <w:style w:type="character" w:customStyle="1" w:styleId="109">
    <w:name w:val=".访谈文本 Char"/>
    <w:link w:val="108"/>
    <w:qFormat/>
    <w:uiPriority w:val="0"/>
    <w:rPr>
      <w:rFonts w:hAnsi="Times New Roman" w:eastAsia="楷体" w:cs="Times New Roman"/>
      <w:sz w:val="24"/>
      <w:szCs w:val="22"/>
    </w:rPr>
  </w:style>
  <w:style w:type="paragraph" w:customStyle="1" w:styleId="110">
    <w:name w:val=".脚注"/>
    <w:basedOn w:val="1"/>
    <w:link w:val="111"/>
    <w:qFormat/>
    <w:uiPriority w:val="0"/>
    <w:pPr>
      <w:spacing w:line="580" w:lineRule="exact"/>
      <w:ind w:firstLine="200" w:firstLineChars="200"/>
    </w:pPr>
    <w:rPr>
      <w:rFonts w:hAnsi="Times New Roman" w:cs="Times New Roman"/>
      <w:color w:val="000000"/>
      <w:sz w:val="18"/>
      <w:szCs w:val="22"/>
    </w:rPr>
  </w:style>
  <w:style w:type="character" w:customStyle="1" w:styleId="111">
    <w:name w:val=".脚注 Char"/>
    <w:link w:val="110"/>
    <w:qFormat/>
    <w:uiPriority w:val="0"/>
    <w:rPr>
      <w:rFonts w:hAnsi="Times New Roman" w:cs="Times New Roman"/>
      <w:color w:val="000000"/>
      <w:sz w:val="18"/>
      <w:szCs w:val="22"/>
    </w:rPr>
  </w:style>
  <w:style w:type="paragraph" w:customStyle="1" w:styleId="112">
    <w:name w:val=".星星（白色次级）"/>
    <w:basedOn w:val="106"/>
    <w:link w:val="113"/>
    <w:qFormat/>
    <w:uiPriority w:val="0"/>
    <w:pPr>
      <w:keepNext/>
      <w:numPr>
        <w:ilvl w:val="0"/>
        <w:numId w:val="2"/>
      </w:numPr>
      <w:spacing w:after="50"/>
      <w:ind w:left="400" w:leftChars="400" w:hanging="442" w:hangingChars="201"/>
    </w:pPr>
    <w:rPr>
      <w:lang w:val="zh-CN"/>
    </w:rPr>
  </w:style>
  <w:style w:type="character" w:customStyle="1" w:styleId="113">
    <w:name w:val=".星星（白色次级） Char"/>
    <w:link w:val="112"/>
    <w:qFormat/>
    <w:uiPriority w:val="0"/>
    <w:rPr>
      <w:rFonts w:hAnsi="Times New Roman" w:cs="Times New Roman"/>
      <w:sz w:val="24"/>
      <w:szCs w:val="22"/>
      <w:lang w:val="zh-CN"/>
    </w:rPr>
  </w:style>
  <w:style w:type="paragraph" w:customStyle="1" w:styleId="114">
    <w:name w:val=".星星（黑色初级）"/>
    <w:basedOn w:val="106"/>
    <w:link w:val="115"/>
    <w:qFormat/>
    <w:uiPriority w:val="0"/>
    <w:pPr>
      <w:keepNext/>
      <w:numPr>
        <w:ilvl w:val="0"/>
        <w:numId w:val="3"/>
      </w:numPr>
      <w:spacing w:after="50"/>
      <w:ind w:firstLine="0" w:firstLineChars="0"/>
    </w:pPr>
    <w:rPr>
      <w:b/>
      <w:lang w:val="zh-CN"/>
    </w:rPr>
  </w:style>
  <w:style w:type="character" w:customStyle="1" w:styleId="115">
    <w:name w:val=".星星（黑色初级） Char"/>
    <w:link w:val="114"/>
    <w:qFormat/>
    <w:uiPriority w:val="0"/>
    <w:rPr>
      <w:rFonts w:hAnsi="Times New Roman" w:cs="Times New Roman"/>
      <w:b/>
      <w:sz w:val="24"/>
      <w:szCs w:val="22"/>
      <w:lang w:val="zh-CN"/>
    </w:rPr>
  </w:style>
  <w:style w:type="paragraph" w:customStyle="1" w:styleId="116">
    <w:name w:val=".摘要标题"/>
    <w:basedOn w:val="100"/>
    <w:link w:val="117"/>
    <w:qFormat/>
    <w:uiPriority w:val="0"/>
  </w:style>
  <w:style w:type="character" w:customStyle="1" w:styleId="117">
    <w:name w:val=".摘要标题 Char"/>
    <w:link w:val="116"/>
    <w:qFormat/>
    <w:uiPriority w:val="0"/>
    <w:rPr>
      <w:rFonts w:hAnsi="Times New Roman" w:eastAsia="黑体" w:cs="Times New Roman"/>
      <w:b/>
      <w:sz w:val="28"/>
      <w:szCs w:val="22"/>
    </w:rPr>
  </w:style>
  <w:style w:type="paragraph" w:customStyle="1" w:styleId="118">
    <w:name w:val=".章节标题"/>
    <w:basedOn w:val="1"/>
    <w:link w:val="119"/>
    <w:qFormat/>
    <w:uiPriority w:val="0"/>
    <w:pPr>
      <w:spacing w:beforeLines="200" w:afterLines="200" w:line="580" w:lineRule="exact"/>
      <w:ind w:firstLine="200" w:firstLineChars="200"/>
      <w:jc w:val="center"/>
    </w:pPr>
    <w:rPr>
      <w:rFonts w:ascii="黑体" w:hAnsi="黑体" w:eastAsia="黑体" w:cs="宋体"/>
      <w:sz w:val="44"/>
      <w:szCs w:val="22"/>
    </w:rPr>
  </w:style>
  <w:style w:type="character" w:customStyle="1" w:styleId="119">
    <w:name w:val=".章节标题 Char"/>
    <w:link w:val="118"/>
    <w:qFormat/>
    <w:uiPriority w:val="0"/>
    <w:rPr>
      <w:rFonts w:ascii="黑体" w:hAnsi="黑体" w:eastAsia="黑体" w:cs="宋体"/>
      <w:sz w:val="44"/>
      <w:szCs w:val="22"/>
    </w:rPr>
  </w:style>
  <w:style w:type="paragraph" w:customStyle="1" w:styleId="120">
    <w:name w:val=".章节前言"/>
    <w:basedOn w:val="1"/>
    <w:link w:val="121"/>
    <w:qFormat/>
    <w:uiPriority w:val="0"/>
    <w:pPr>
      <w:spacing w:afterLines="50" w:line="400" w:lineRule="exact"/>
      <w:ind w:firstLine="480" w:firstLineChars="200"/>
    </w:pPr>
    <w:rPr>
      <w:rFonts w:hAnsi="Times New Roman" w:eastAsia="楷体" w:cs="Times New Roman"/>
      <w:sz w:val="24"/>
    </w:rPr>
  </w:style>
  <w:style w:type="character" w:customStyle="1" w:styleId="121">
    <w:name w:val=".章节前言 Char"/>
    <w:link w:val="120"/>
    <w:qFormat/>
    <w:uiPriority w:val="0"/>
    <w:rPr>
      <w:rFonts w:hAnsi="Times New Roman" w:eastAsia="楷体" w:cs="Times New Roman"/>
      <w:sz w:val="24"/>
    </w:rPr>
  </w:style>
  <w:style w:type="paragraph" w:customStyle="1" w:styleId="122">
    <w:name w:val=".资料来源"/>
    <w:basedOn w:val="1"/>
    <w:link w:val="123"/>
    <w:qFormat/>
    <w:uiPriority w:val="0"/>
    <w:pPr>
      <w:spacing w:afterLines="50" w:line="320" w:lineRule="exact"/>
      <w:ind w:firstLine="200" w:firstLineChars="200"/>
      <w:jc w:val="center"/>
      <w:outlineLvl w:val="8"/>
    </w:pPr>
    <w:rPr>
      <w:rFonts w:hAnsi="Times New Roman" w:cs="Times New Roman"/>
      <w:color w:val="000000"/>
      <w:sz w:val="18"/>
      <w:szCs w:val="22"/>
    </w:rPr>
  </w:style>
  <w:style w:type="character" w:customStyle="1" w:styleId="123">
    <w:name w:val=".资料来源 Char"/>
    <w:link w:val="122"/>
    <w:qFormat/>
    <w:uiPriority w:val="0"/>
    <w:rPr>
      <w:rFonts w:hAnsi="Times New Roman" w:cs="Times New Roman"/>
      <w:color w:val="000000"/>
      <w:sz w:val="18"/>
      <w:szCs w:val="22"/>
    </w:rPr>
  </w:style>
  <w:style w:type="paragraph" w:customStyle="1" w:styleId="124">
    <w:name w:val=".总标题"/>
    <w:basedOn w:val="1"/>
    <w:link w:val="125"/>
    <w:qFormat/>
    <w:uiPriority w:val="0"/>
    <w:pPr>
      <w:spacing w:beforeLines="100" w:afterLines="100" w:line="580" w:lineRule="exact"/>
      <w:ind w:firstLine="200" w:firstLineChars="200"/>
      <w:jc w:val="center"/>
    </w:pPr>
    <w:rPr>
      <w:rFonts w:ascii="方正小标宋简体" w:hAnsi="黑体" w:eastAsia="方正小标宋简体" w:cs="宋体"/>
      <w:sz w:val="44"/>
      <w:szCs w:val="22"/>
    </w:rPr>
  </w:style>
  <w:style w:type="character" w:customStyle="1" w:styleId="125">
    <w:name w:val=".总标题 Char"/>
    <w:link w:val="124"/>
    <w:qFormat/>
    <w:uiPriority w:val="0"/>
    <w:rPr>
      <w:rFonts w:ascii="方正小标宋简体" w:hAnsi="黑体" w:eastAsia="方正小标宋简体" w:cs="宋体"/>
      <w:sz w:val="44"/>
      <w:szCs w:val="22"/>
    </w:rPr>
  </w:style>
  <w:style w:type="paragraph" w:customStyle="1" w:styleId="126">
    <w:name w:val=".黑点点"/>
    <w:basedOn w:val="112"/>
    <w:link w:val="127"/>
    <w:qFormat/>
    <w:uiPriority w:val="0"/>
    <w:pPr>
      <w:numPr>
        <w:numId w:val="4"/>
      </w:numPr>
      <w:ind w:left="600" w:leftChars="600" w:hanging="200" w:hangingChars="200"/>
    </w:pPr>
  </w:style>
  <w:style w:type="character" w:customStyle="1" w:styleId="127">
    <w:name w:val=".黑点点 字符"/>
    <w:link w:val="126"/>
    <w:qFormat/>
    <w:uiPriority w:val="0"/>
    <w:rPr>
      <w:rFonts w:hAnsi="Times New Roman" w:cs="Times New Roman"/>
      <w:sz w:val="24"/>
      <w:szCs w:val="22"/>
      <w:lang w:val="zh-CN"/>
    </w:rPr>
  </w:style>
  <w:style w:type="paragraph" w:customStyle="1" w:styleId="128">
    <w:name w:val="TOC 标题1"/>
    <w:basedOn w:val="2"/>
    <w:next w:val="1"/>
    <w:qFormat/>
    <w:uiPriority w:val="39"/>
    <w:pPr>
      <w:spacing w:before="240" w:line="259" w:lineRule="auto"/>
      <w:jc w:val="left"/>
      <w:outlineLvl w:val="9"/>
    </w:pPr>
    <w:rPr>
      <w:rFonts w:ascii="Cambria" w:hAnsi="Cambria" w:eastAsia="宋体"/>
      <w:b/>
      <w:bCs w:val="0"/>
      <w:color w:val="365F91"/>
      <w:kern w:val="0"/>
      <w:sz w:val="32"/>
      <w:szCs w:val="32"/>
    </w:rPr>
  </w:style>
  <w:style w:type="paragraph" w:customStyle="1" w:styleId="129">
    <w:name w:val="样式 1"/>
    <w:basedOn w:val="2"/>
    <w:qFormat/>
    <w:uiPriority w:val="0"/>
    <w:pPr>
      <w:adjustRightInd w:val="0"/>
      <w:snapToGrid w:val="0"/>
      <w:spacing w:line="576" w:lineRule="auto"/>
      <w:jc w:val="left"/>
    </w:pPr>
    <w:rPr>
      <w:rFonts w:ascii="Cambria" w:hAnsi="Cambria" w:eastAsia="宋体"/>
      <w:color w:val="00B050"/>
      <w:sz w:val="40"/>
      <w:szCs w:val="22"/>
    </w:rPr>
  </w:style>
  <w:style w:type="paragraph" w:customStyle="1" w:styleId="130">
    <w:name w:val="列出段落3"/>
    <w:basedOn w:val="1"/>
    <w:qFormat/>
    <w:uiPriority w:val="0"/>
    <w:pPr>
      <w:spacing w:line="580" w:lineRule="exact"/>
      <w:ind w:firstLine="420" w:firstLineChars="200"/>
    </w:pPr>
    <w:rPr>
      <w:rFonts w:ascii="Calibri" w:hAnsi="Calibri" w:cs="Times New Roman"/>
      <w:szCs w:val="22"/>
    </w:rPr>
  </w:style>
  <w:style w:type="paragraph" w:customStyle="1" w:styleId="131">
    <w:name w:val="font0"/>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32">
    <w:name w:val="font5"/>
    <w:basedOn w:val="1"/>
    <w:qFormat/>
    <w:uiPriority w:val="0"/>
    <w:pPr>
      <w:spacing w:before="100" w:beforeAutospacing="1" w:after="100" w:afterAutospacing="1" w:line="580" w:lineRule="exact"/>
      <w:ind w:firstLine="200" w:firstLineChars="200"/>
      <w:jc w:val="left"/>
    </w:pPr>
    <w:rPr>
      <w:rFonts w:ascii="方正小标宋简体" w:hAnsi="宋体" w:eastAsia="方正小标宋简体" w:cs="宋体"/>
      <w:kern w:val="0"/>
      <w:sz w:val="40"/>
      <w:szCs w:val="40"/>
    </w:rPr>
  </w:style>
  <w:style w:type="paragraph" w:customStyle="1" w:styleId="133">
    <w:name w:val="font6"/>
    <w:basedOn w:val="1"/>
    <w:qFormat/>
    <w:uiPriority w:val="0"/>
    <w:pPr>
      <w:spacing w:before="100" w:beforeAutospacing="1" w:after="100" w:afterAutospacing="1" w:line="580" w:lineRule="exact"/>
      <w:ind w:firstLine="200" w:firstLineChars="200"/>
      <w:jc w:val="left"/>
    </w:pPr>
    <w:rPr>
      <w:rFonts w:ascii="宋体" w:hAnsi="宋体" w:cs="宋体"/>
      <w:kern w:val="0"/>
      <w:sz w:val="18"/>
      <w:szCs w:val="18"/>
    </w:rPr>
  </w:style>
  <w:style w:type="paragraph" w:customStyle="1" w:styleId="134">
    <w:name w:val="xl66"/>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35">
    <w:name w:val="xl67"/>
    <w:basedOn w:val="1"/>
    <w:qFormat/>
    <w:uiPriority w:val="0"/>
    <w:pP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36">
    <w:name w:val="xl68"/>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b/>
      <w:bCs/>
      <w:kern w:val="0"/>
      <w:sz w:val="40"/>
      <w:szCs w:val="40"/>
    </w:rPr>
  </w:style>
  <w:style w:type="paragraph" w:customStyle="1" w:styleId="137">
    <w:name w:val="xl69"/>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kern w:val="0"/>
      <w:sz w:val="40"/>
      <w:szCs w:val="40"/>
    </w:rPr>
  </w:style>
  <w:style w:type="paragraph" w:customStyle="1" w:styleId="138">
    <w:name w:val="xl70"/>
    <w:basedOn w:val="1"/>
    <w:qFormat/>
    <w:uiPriority w:val="0"/>
    <w:pPr>
      <w:pBdr>
        <w:bottom w:val="single" w:color="auto" w:sz="4" w:space="0"/>
      </w:pBdr>
      <w:spacing w:before="100" w:beforeAutospacing="1" w:after="100" w:afterAutospacing="1" w:line="580" w:lineRule="exact"/>
      <w:ind w:firstLine="200" w:firstLineChars="200"/>
      <w:jc w:val="center"/>
    </w:pPr>
    <w:rPr>
      <w:rFonts w:ascii="方正小标宋简体" w:hAnsi="宋体" w:eastAsia="方正小标宋简体" w:cs="宋体"/>
      <w:b/>
      <w:bCs/>
      <w:kern w:val="0"/>
      <w:sz w:val="40"/>
      <w:szCs w:val="40"/>
    </w:rPr>
  </w:style>
  <w:style w:type="paragraph" w:customStyle="1" w:styleId="139">
    <w:name w:val="xl71"/>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hAnsi="宋体" w:cs="宋体"/>
      <w:kern w:val="0"/>
      <w:sz w:val="24"/>
    </w:rPr>
  </w:style>
  <w:style w:type="paragraph" w:customStyle="1" w:styleId="14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ascii="宋体" w:hAnsi="宋体" w:cs="宋体"/>
      <w:kern w:val="0"/>
      <w:sz w:val="20"/>
      <w:szCs w:val="20"/>
    </w:rPr>
  </w:style>
  <w:style w:type="paragraph" w:customStyle="1" w:styleId="14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kern w:val="0"/>
      <w:sz w:val="24"/>
    </w:rPr>
  </w:style>
  <w:style w:type="paragraph" w:customStyle="1" w:styleId="14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4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color w:val="FF0000"/>
      <w:kern w:val="0"/>
      <w:sz w:val="24"/>
    </w:rPr>
  </w:style>
  <w:style w:type="paragraph" w:customStyle="1" w:styleId="14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color w:val="FF0000"/>
      <w:kern w:val="0"/>
      <w:sz w:val="24"/>
    </w:rPr>
  </w:style>
  <w:style w:type="paragraph" w:customStyle="1" w:styleId="14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hAnsi="宋体" w:cs="宋体"/>
      <w:color w:val="FF0000"/>
      <w:kern w:val="0"/>
      <w:sz w:val="24"/>
    </w:rPr>
  </w:style>
  <w:style w:type="paragraph" w:customStyle="1" w:styleId="15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ascii="宋体" w:hAnsi="宋体" w:cs="宋体"/>
      <w:color w:val="FF0000"/>
      <w:kern w:val="0"/>
      <w:sz w:val="20"/>
      <w:szCs w:val="20"/>
    </w:rPr>
  </w:style>
  <w:style w:type="paragraph" w:customStyle="1" w:styleId="151">
    <w:name w:val="xl83"/>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kern w:val="0"/>
      <w:sz w:val="40"/>
      <w:szCs w:val="40"/>
      <w:u w:val="single"/>
    </w:rPr>
  </w:style>
  <w:style w:type="paragraph" w:customStyle="1" w:styleId="152">
    <w:name w:val="xl84"/>
    <w:basedOn w:val="1"/>
    <w:qFormat/>
    <w:uiPriority w:val="0"/>
    <w:pPr>
      <w:pBdr>
        <w:top w:val="single" w:color="auto" w:sz="4" w:space="0"/>
        <w:left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3">
    <w:name w:val="xl85"/>
    <w:basedOn w:val="1"/>
    <w:qFormat/>
    <w:uiPriority w:val="0"/>
    <w:pPr>
      <w:pBdr>
        <w:top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4">
    <w:name w:val="xl86"/>
    <w:basedOn w:val="1"/>
    <w:qFormat/>
    <w:uiPriority w:val="0"/>
    <w:pPr>
      <w:pBdr>
        <w:top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kern w:val="0"/>
      <w:sz w:val="24"/>
    </w:rPr>
  </w:style>
  <w:style w:type="paragraph" w:customStyle="1" w:styleId="156">
    <w:name w:val="xl88"/>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color w:val="FF0000"/>
      <w:kern w:val="0"/>
      <w:sz w:val="24"/>
    </w:rPr>
  </w:style>
  <w:style w:type="paragraph" w:customStyle="1" w:styleId="15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59">
    <w:name w:val="xl91"/>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0">
    <w:name w:val="xl92"/>
    <w:basedOn w:val="1"/>
    <w:qFormat/>
    <w:uiPriority w:val="0"/>
    <w:pPr>
      <w:pBdr>
        <w:left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1">
    <w:name w:val="xl93"/>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4"/>
    </w:rPr>
  </w:style>
  <w:style w:type="paragraph" w:customStyle="1" w:styleId="163">
    <w:name w:val="xl95"/>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4">
    <w:name w:val="xl96"/>
    <w:basedOn w:val="1"/>
    <w:qFormat/>
    <w:uiPriority w:val="0"/>
    <w:pPr>
      <w:pBdr>
        <w:left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5">
    <w:name w:val="xl97"/>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6">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580" w:lineRule="exact"/>
      <w:ind w:firstLine="200" w:firstLineChars="200"/>
      <w:jc w:val="left"/>
    </w:pPr>
    <w:rPr>
      <w:rFonts w:hAnsi="宋体" w:cs="宋体"/>
      <w:kern w:val="0"/>
      <w:sz w:val="24"/>
    </w:rPr>
  </w:style>
  <w:style w:type="paragraph" w:customStyle="1" w:styleId="167">
    <w:name w:val="xl99"/>
    <w:basedOn w:val="1"/>
    <w:qFormat/>
    <w:uiPriority w:val="0"/>
    <w:pPr>
      <w:pBdr>
        <w:top w:val="single" w:color="auto" w:sz="4" w:space="0"/>
        <w:lef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68">
    <w:name w:val="xl100"/>
    <w:basedOn w:val="1"/>
    <w:qFormat/>
    <w:uiPriority w:val="0"/>
    <w:pPr>
      <w:pBdr>
        <w:top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69">
    <w:name w:val="xl101"/>
    <w:basedOn w:val="1"/>
    <w:qFormat/>
    <w:uiPriority w:val="0"/>
    <w:pPr>
      <w:pBdr>
        <w:left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70">
    <w:name w:val="xl102"/>
    <w:basedOn w:val="1"/>
    <w:qFormat/>
    <w:uiPriority w:val="0"/>
    <w:pPr>
      <w:pBdr>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character" w:customStyle="1" w:styleId="171">
    <w:name w:val="15"/>
    <w:qFormat/>
    <w:uiPriority w:val="0"/>
    <w:rPr>
      <w:rFonts w:hint="default" w:ascii="Times New Roman" w:hAnsi="Times New Roman" w:eastAsia="宋体" w:cs="Times New Roman"/>
      <w:color w:val="0000FF"/>
      <w:kern w:val="2"/>
      <w:sz w:val="24"/>
      <w:szCs w:val="24"/>
      <w:u w:val="single"/>
      <w:lang w:val="en-US" w:eastAsia="zh-CN" w:bidi="ar-SA"/>
    </w:rPr>
  </w:style>
  <w:style w:type="character" w:customStyle="1" w:styleId="172">
    <w:name w:val="con2"/>
    <w:qFormat/>
    <w:uiPriority w:val="0"/>
  </w:style>
  <w:style w:type="character" w:customStyle="1" w:styleId="173">
    <w:name w:val="font01"/>
    <w:qFormat/>
    <w:uiPriority w:val="0"/>
    <w:rPr>
      <w:rFonts w:hint="eastAsia" w:ascii="宋体" w:hAnsi="宋体" w:eastAsia="宋体" w:cs="宋体"/>
      <w:color w:val="000000"/>
      <w:sz w:val="22"/>
      <w:szCs w:val="22"/>
      <w:u w:val="none"/>
    </w:rPr>
  </w:style>
  <w:style w:type="paragraph" w:customStyle="1" w:styleId="174">
    <w:name w:val="文件正文"/>
    <w:basedOn w:val="72"/>
    <w:qFormat/>
    <w:uiPriority w:val="2"/>
    <w:pPr>
      <w:numPr>
        <w:numId w:val="0"/>
      </w:numPr>
      <w:tabs>
        <w:tab w:val="clear" w:pos="1785"/>
      </w:tabs>
      <w:spacing w:line="560" w:lineRule="exact"/>
      <w:ind w:firstLine="622" w:firstLineChars="200"/>
    </w:pPr>
    <w:rPr>
      <w:rFonts w:hAnsi="仿宋_GB2312" w:cs="仿宋_GB2312"/>
      <w:sz w:val="32"/>
    </w:rPr>
  </w:style>
  <w:style w:type="paragraph" w:styleId="175">
    <w:name w:val="No Spacing"/>
    <w:qFormat/>
    <w:uiPriority w:val="1"/>
    <w:pPr>
      <w:widowControl w:val="0"/>
      <w:spacing w:line="590" w:lineRule="exact"/>
      <w:jc w:val="both"/>
    </w:pPr>
    <w:rPr>
      <w:rFonts w:ascii="Calibri" w:hAnsi="Calibri" w:eastAsia="仿宋_GB2312" w:cs="Times New Roman"/>
      <w:spacing w:val="-4"/>
      <w:kern w:val="2"/>
      <w:sz w:val="21"/>
      <w:szCs w:val="24"/>
      <w:lang w:val="en-US" w:eastAsia="zh-CN" w:bidi="ar-SA"/>
    </w:rPr>
  </w:style>
  <w:style w:type="paragraph" w:customStyle="1" w:styleId="176">
    <w:name w:val="p15"/>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77">
    <w:name w:val="无间隔1"/>
    <w:qFormat/>
    <w:uiPriority w:val="0"/>
    <w:pPr>
      <w:widowControl w:val="0"/>
      <w:spacing w:line="240" w:lineRule="auto"/>
      <w:ind w:firstLine="200" w:firstLineChars="200"/>
      <w:jc w:val="both"/>
    </w:pPr>
    <w:rPr>
      <w:rFonts w:ascii="Calibri" w:hAnsi="Calibri" w:eastAsia="宋体" w:cs="Times New Roman"/>
      <w:kern w:val="2"/>
      <w:sz w:val="28"/>
      <w:szCs w:val="22"/>
      <w:lang w:val="en-US" w:eastAsia="zh-CN" w:bidi="ar-SA"/>
    </w:rPr>
  </w:style>
  <w:style w:type="character" w:customStyle="1" w:styleId="178">
    <w:name w:val="16"/>
    <w:qFormat/>
    <w:uiPriority w:val="0"/>
    <w:rPr>
      <w:rFonts w:hint="default" w:ascii="Calibri" w:hAnsi="Calibri" w:eastAsia="宋体"/>
      <w:color w:val="0000FF"/>
      <w:kern w:val="2"/>
      <w:sz w:val="24"/>
      <w:szCs w:val="24"/>
      <w:u w:val="single"/>
      <w:lang w:val="en-US" w:eastAsia="zh-CN" w:bidi="ar-SA"/>
    </w:rPr>
  </w:style>
  <w:style w:type="paragraph" w:customStyle="1" w:styleId="179">
    <w:name w:val="主送机关"/>
    <w:basedOn w:val="1"/>
    <w:qFormat/>
    <w:uiPriority w:val="0"/>
    <w:pPr>
      <w:widowControl w:val="0"/>
      <w:spacing w:line="580" w:lineRule="exact"/>
      <w:ind w:firstLine="200" w:firstLineChars="200"/>
      <w:jc w:val="center"/>
    </w:pPr>
    <w:rPr>
      <w:rFonts w:ascii="宋体" w:hAnsi="宋体" w:eastAsia="宋体" w:cs="Times New Roman"/>
      <w:sz w:val="36"/>
      <w:szCs w:val="36"/>
    </w:rPr>
  </w:style>
  <w:style w:type="paragraph" w:customStyle="1" w:styleId="180">
    <w:name w:val="p1"/>
    <w:basedOn w:val="1"/>
    <w:qFormat/>
    <w:uiPriority w:val="0"/>
    <w:pPr>
      <w:widowControl w:val="0"/>
      <w:spacing w:line="380" w:lineRule="atLeast"/>
      <w:jc w:val="left"/>
    </w:pPr>
    <w:rPr>
      <w:rFonts w:ascii="Helvetica Neue" w:hAnsi="Helvetica Neue" w:eastAsia="Helvetica Neue" w:cs="Times New Roman"/>
      <w:color w:val="000000"/>
      <w:kern w:val="0"/>
      <w:sz w:val="26"/>
      <w:szCs w:val="26"/>
    </w:rPr>
  </w:style>
  <w:style w:type="paragraph" w:customStyle="1" w:styleId="181">
    <w:name w:val="样式 标题 1 + 四号 居中"/>
    <w:basedOn w:val="2"/>
    <w:qFormat/>
    <w:uiPriority w:val="0"/>
    <w:pPr>
      <w:keepLines w:val="0"/>
      <w:widowControl w:val="0"/>
      <w:spacing w:line="240" w:lineRule="auto"/>
    </w:pPr>
    <w:rPr>
      <w:rFonts w:ascii="Times New Roman" w:hAnsi="Times New Roman" w:eastAsia="等线"/>
      <w:b/>
      <w:kern w:val="2"/>
      <w:sz w:val="28"/>
      <w:szCs w:val="20"/>
    </w:rPr>
  </w:style>
  <w:style w:type="paragraph" w:customStyle="1" w:styleId="182">
    <w:name w:val="_Style 5"/>
    <w:basedOn w:val="1"/>
    <w:qFormat/>
    <w:uiPriority w:val="99"/>
    <w:pPr>
      <w:widowControl w:val="0"/>
      <w:spacing w:line="240" w:lineRule="auto"/>
      <w:ind w:firstLine="420" w:firstLineChars="200"/>
    </w:pPr>
    <w:rPr>
      <w:rFonts w:ascii="Calibri" w:hAnsi="Calibri" w:eastAsia="宋体" w:cs="Times New Roman"/>
      <w:sz w:val="21"/>
      <w:szCs w:val="22"/>
    </w:rPr>
  </w:style>
  <w:style w:type="paragraph" w:customStyle="1" w:styleId="183">
    <w:name w:val="_Style 2"/>
    <w:basedOn w:val="1"/>
    <w:qFormat/>
    <w:uiPriority w:val="99"/>
    <w:pPr>
      <w:widowControl w:val="0"/>
      <w:spacing w:line="240" w:lineRule="auto"/>
      <w:ind w:firstLine="420" w:firstLineChars="200"/>
    </w:pPr>
    <w:rPr>
      <w:rFonts w:ascii="Calibri" w:hAnsi="Calibri" w:eastAsia="宋体" w:cs="Times New Roman"/>
      <w:sz w:val="21"/>
      <w:szCs w:val="22"/>
    </w:rPr>
  </w:style>
  <w:style w:type="paragraph" w:customStyle="1" w:styleId="184">
    <w:name w:val="_Style 1"/>
    <w:basedOn w:val="1"/>
    <w:qFormat/>
    <w:uiPriority w:val="0"/>
    <w:pPr>
      <w:widowControl w:val="0"/>
      <w:spacing w:line="240" w:lineRule="auto"/>
      <w:ind w:firstLine="420" w:firstLineChars="200"/>
    </w:pPr>
    <w:rPr>
      <w:rFonts w:ascii="Calibri" w:hAnsi="Calibri" w:eastAsia="宋体" w:cs="Times New Roman"/>
      <w:sz w:val="21"/>
      <w:szCs w:val="21"/>
    </w:rPr>
  </w:style>
  <w:style w:type="character" w:customStyle="1" w:styleId="185">
    <w:name w:val="l1"/>
    <w:qFormat/>
    <w:uiPriority w:val="0"/>
    <w:rPr>
      <w:rFonts w:eastAsia="宋体"/>
      <w:color w:val="106DC6"/>
      <w:kern w:val="2"/>
      <w:sz w:val="24"/>
      <w:szCs w:val="24"/>
      <w:lang w:val="en-US" w:eastAsia="zh-CN" w:bidi="ar-SA"/>
    </w:rPr>
  </w:style>
  <w:style w:type="character" w:customStyle="1" w:styleId="186">
    <w:name w:val="fontstyle01"/>
    <w:qFormat/>
    <w:uiPriority w:val="0"/>
    <w:rPr>
      <w:rFonts w:hint="eastAsia" w:ascii="仿宋_GB2312" w:eastAsia="仿宋_GB2312" w:cs="仿宋_GB2312"/>
      <w:color w:val="000000"/>
      <w:kern w:val="2"/>
      <w:sz w:val="32"/>
      <w:szCs w:val="32"/>
      <w:lang w:val="en-US" w:eastAsia="zh-CN" w:bidi="ar-SA"/>
    </w:rPr>
  </w:style>
  <w:style w:type="character" w:customStyle="1" w:styleId="187">
    <w:name w:val="font61"/>
    <w:qFormat/>
    <w:uiPriority w:val="0"/>
    <w:rPr>
      <w:rFonts w:hint="eastAsia" w:ascii="仿宋_GB2312" w:eastAsia="仿宋_GB2312" w:cs="仿宋_GB2312"/>
      <w:color w:val="000000"/>
      <w:kern w:val="2"/>
      <w:sz w:val="22"/>
      <w:szCs w:val="22"/>
      <w:u w:val="none"/>
      <w:lang w:val="en-US" w:eastAsia="zh-CN" w:bidi="ar-SA"/>
    </w:rPr>
  </w:style>
  <w:style w:type="character" w:customStyle="1" w:styleId="188">
    <w:name w:val="font21"/>
    <w:qFormat/>
    <w:uiPriority w:val="0"/>
    <w:rPr>
      <w:rFonts w:ascii="Calibri" w:hAnsi="Calibri" w:eastAsia="宋体" w:cs="Calibri"/>
      <w:color w:val="000000"/>
      <w:kern w:val="2"/>
      <w:sz w:val="20"/>
      <w:szCs w:val="20"/>
      <w:u w:val="none"/>
      <w:lang w:val="en-US" w:eastAsia="zh-CN" w:bidi="ar-SA"/>
    </w:rPr>
  </w:style>
  <w:style w:type="character" w:customStyle="1" w:styleId="189">
    <w:name w:val="font31"/>
    <w:qFormat/>
    <w:uiPriority w:val="0"/>
    <w:rPr>
      <w:rFonts w:hint="eastAsia" w:ascii="等线" w:hAnsi="等线" w:eastAsia="等线" w:cs="等线"/>
      <w:color w:val="000000"/>
      <w:kern w:val="2"/>
      <w:sz w:val="20"/>
      <w:szCs w:val="20"/>
      <w:u w:val="none"/>
      <w:lang w:val="en-US" w:eastAsia="zh-CN" w:bidi="ar-SA"/>
    </w:rPr>
  </w:style>
  <w:style w:type="character" w:customStyle="1" w:styleId="190">
    <w:name w:val="search-highlight3"/>
    <w:qFormat/>
    <w:uiPriority w:val="0"/>
  </w:style>
  <w:style w:type="paragraph" w:customStyle="1" w:styleId="191">
    <w:name w:val="段"/>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kern w:val="0"/>
      <w:sz w:val="21"/>
      <w:szCs w:val="20"/>
      <w:lang w:val="en-US" w:eastAsia="zh-CN" w:bidi="ar-SA"/>
    </w:rPr>
  </w:style>
  <w:style w:type="paragraph" w:customStyle="1" w:styleId="192">
    <w:name w:val="列出段落2"/>
    <w:basedOn w:val="1"/>
    <w:qFormat/>
    <w:uiPriority w:val="34"/>
    <w:pPr>
      <w:widowControl w:val="0"/>
      <w:spacing w:line="240" w:lineRule="auto"/>
      <w:ind w:firstLine="420" w:firstLineChars="200"/>
    </w:pPr>
    <w:rPr>
      <w:rFonts w:ascii="Calibri" w:hAnsi="Calibri" w:eastAsia="宋体" w:cs="Times New Roman"/>
      <w:sz w:val="21"/>
      <w:szCs w:val="22"/>
    </w:rPr>
  </w:style>
  <w:style w:type="paragraph" w:customStyle="1" w:styleId="193">
    <w:name w:val="表格(五号)"/>
    <w:basedOn w:val="1"/>
    <w:qFormat/>
    <w:uiPriority w:val="0"/>
    <w:pPr>
      <w:widowControl w:val="0"/>
      <w:adjustRightInd w:val="0"/>
      <w:snapToGrid w:val="0"/>
      <w:spacing w:before="60" w:after="60" w:line="240" w:lineRule="auto"/>
      <w:ind w:left="11"/>
      <w:jc w:val="center"/>
      <w:textAlignment w:val="baseline"/>
    </w:pPr>
    <w:rPr>
      <w:rFonts w:ascii="Times New Roman" w:hAnsi="Times New Roman" w:eastAsia="宋体" w:cs="Times New Roman"/>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F0DCA-6444-4D5D-A6C8-4C62801340B9}">
  <ds:schemaRefs/>
</ds:datastoreItem>
</file>

<file path=docProps/app.xml><?xml version="1.0" encoding="utf-8"?>
<Properties xmlns="http://schemas.openxmlformats.org/officeDocument/2006/extended-properties" xmlns:vt="http://schemas.openxmlformats.org/officeDocument/2006/docPropsVTypes">
  <Template>Normal</Template>
  <Pages>12</Pages>
  <Words>773</Words>
  <Characters>4407</Characters>
  <Lines>36</Lines>
  <Paragraphs>10</Paragraphs>
  <TotalTime>615</TotalTime>
  <ScaleCrop>false</ScaleCrop>
  <LinksUpToDate>false</LinksUpToDate>
  <CharactersWithSpaces>5170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2018-11-20T15:06:00Z</dcterms:created>
  <dc:creator>罗业翔</dc:creator>
  <cp:lastModifiedBy>李海亮</cp:lastModifiedBy>
  <cp:lastPrinted>2022-01-14T07:04:00Z</cp:lastPrinted>
  <dcterms:modified xsi:type="dcterms:W3CDTF">2022-01-19T01:22:51Z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